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71" w:rsidRPr="00170801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bookmarkStart w:id="0" w:name="_GoBack"/>
      <w:bookmarkEnd w:id="0"/>
      <w:r w:rsidRPr="00170801">
        <w:rPr>
          <w:b/>
          <w:lang w:val="lv-LV"/>
        </w:rPr>
        <w:t>Ministru kabineta noteikumu projekta</w:t>
      </w:r>
    </w:p>
    <w:p w:rsidR="00E312B1" w:rsidRPr="00170801" w:rsidRDefault="002669C3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</w:t>
      </w:r>
      <w:bookmarkStart w:id="1" w:name="OLE_LINK7"/>
      <w:bookmarkStart w:id="2" w:name="OLE_LINK8"/>
      <w:r w:rsidR="00E312B1" w:rsidRPr="00170801">
        <w:rPr>
          <w:b/>
          <w:bCs/>
          <w:lang w:val="lv-LV"/>
        </w:rPr>
        <w:t>Grozījumi Ministru kabineta 2004.gada 17.februāra noteikumos Nr.83</w:t>
      </w:r>
    </w:p>
    <w:p w:rsidR="00D12371" w:rsidRPr="00170801" w:rsidRDefault="00E312B1" w:rsidP="00E312B1">
      <w:pPr>
        <w:jc w:val="center"/>
        <w:rPr>
          <w:lang w:val="lv-LV"/>
        </w:rPr>
      </w:pPr>
      <w:r w:rsidRPr="00170801">
        <w:rPr>
          <w:b/>
          <w:bCs/>
          <w:lang w:val="lv-LV"/>
        </w:rPr>
        <w:t>„Āfrikas cūku mēra likvidēšanas un draudu novēršanas kārtība”</w:t>
      </w:r>
      <w:r w:rsidR="002669C3" w:rsidRPr="00170801">
        <w:rPr>
          <w:b/>
          <w:bCs/>
          <w:lang w:val="lv-LV"/>
        </w:rPr>
        <w:t>”</w:t>
      </w:r>
    </w:p>
    <w:p w:rsidR="004D267D" w:rsidRDefault="00E61AD5" w:rsidP="00170801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170801">
        <w:rPr>
          <w:b/>
          <w:lang w:val="lv-LV"/>
        </w:rPr>
        <w:t xml:space="preserve">sākotnējās </w:t>
      </w:r>
      <w:r w:rsidR="00757B05" w:rsidRPr="00170801">
        <w:rPr>
          <w:b/>
          <w:lang w:val="lv-LV"/>
        </w:rPr>
        <w:t>ietekmes novērtējuma ziņojums</w:t>
      </w:r>
      <w:r w:rsidR="00757B05" w:rsidRPr="00170801">
        <w:rPr>
          <w:b/>
          <w:bCs/>
          <w:lang w:val="lv-LV"/>
        </w:rPr>
        <w:t xml:space="preserve"> (anotācija)</w:t>
      </w:r>
    </w:p>
    <w:p w:rsidR="00D57DEC" w:rsidRPr="00170801" w:rsidRDefault="00D57DEC" w:rsidP="00170801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2710"/>
        <w:gridCol w:w="6505"/>
      </w:tblGrid>
      <w:tr w:rsidR="005D73DE" w:rsidRPr="00CD1DE7" w:rsidTr="00CA1F22">
        <w:tc>
          <w:tcPr>
            <w:tcW w:w="0" w:type="auto"/>
            <w:gridSpan w:val="3"/>
            <w:vAlign w:val="center"/>
          </w:tcPr>
          <w:bookmarkEnd w:id="1"/>
          <w:bookmarkEnd w:id="2"/>
          <w:p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E41118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CD1DE7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9E2709" w:rsidRDefault="00E312B1" w:rsidP="005D73DE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26.panta</w:t>
            </w:r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27.panta treš</w:t>
            </w:r>
            <w:r>
              <w:rPr>
                <w:lang w:val="lv-LV"/>
              </w:rPr>
              <w:t>ā daļa</w:t>
            </w:r>
          </w:p>
        </w:tc>
      </w:tr>
      <w:tr w:rsidR="005D73DE" w:rsidRPr="00A919CE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8E1A59" w:rsidRDefault="004E4242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Ir stājies spēkā Komisijas </w:t>
            </w:r>
            <w:r w:rsidR="00093B45">
              <w:rPr>
                <w:lang w:val="lv-LV"/>
              </w:rPr>
              <w:t>2015</w:t>
            </w:r>
            <w:r w:rsidR="00F20442">
              <w:rPr>
                <w:lang w:val="lv-LV"/>
              </w:rPr>
              <w:t xml:space="preserve">.gada </w:t>
            </w:r>
            <w:r w:rsidR="002512B0">
              <w:rPr>
                <w:lang w:val="lv-LV"/>
              </w:rPr>
              <w:t>1</w:t>
            </w:r>
            <w:r w:rsidR="001306C1">
              <w:rPr>
                <w:lang w:val="lv-LV"/>
              </w:rPr>
              <w:t>4</w:t>
            </w:r>
            <w:r w:rsidR="00093B45">
              <w:rPr>
                <w:lang w:val="lv-LV"/>
              </w:rPr>
              <w:t>.</w:t>
            </w:r>
            <w:r w:rsidR="001306C1">
              <w:rPr>
                <w:lang w:val="lv-LV"/>
              </w:rPr>
              <w:t>jūlija</w:t>
            </w:r>
            <w:r w:rsidR="00DF4E80">
              <w:rPr>
                <w:lang w:val="lv-LV"/>
              </w:rPr>
              <w:t xml:space="preserve"> </w:t>
            </w:r>
            <w:r>
              <w:rPr>
                <w:lang w:val="lv-LV"/>
              </w:rPr>
              <w:t>Īstenošanas lēmums</w:t>
            </w:r>
            <w:r w:rsidR="00532F5F">
              <w:rPr>
                <w:lang w:val="lv-LV"/>
              </w:rPr>
              <w:t xml:space="preserve"> 2015/1169</w:t>
            </w:r>
            <w:r w:rsidR="00EB35CE">
              <w:rPr>
                <w:lang w:val="lv-LV"/>
              </w:rPr>
              <w:t xml:space="preserve">, </w:t>
            </w:r>
            <w:r w:rsidR="003A68EB">
              <w:rPr>
                <w:lang w:val="lv-LV"/>
              </w:rPr>
              <w:t>ar ko</w:t>
            </w:r>
            <w:r w:rsidR="00EB35CE">
              <w:rPr>
                <w:lang w:val="lv-LV"/>
              </w:rPr>
              <w:t xml:space="preserve"> </w:t>
            </w:r>
            <w:r w:rsidR="001306C1">
              <w:rPr>
                <w:lang w:val="lv-LV"/>
              </w:rPr>
              <w:t>attiecībā uz ierakstiem par Igauniju, Lietuvu un Poliju groza pielikumu Īstenošanas lēmumam</w:t>
            </w:r>
            <w:r w:rsidR="00EB35CE">
              <w:rPr>
                <w:lang w:val="lv-LV"/>
              </w:rPr>
              <w:t xml:space="preserve"> </w:t>
            </w:r>
            <w:r w:rsidR="0064573A">
              <w:rPr>
                <w:lang w:val="lv-LV"/>
              </w:rPr>
              <w:t xml:space="preserve"> </w:t>
            </w:r>
            <w:r w:rsidR="00EB35CE">
              <w:rPr>
                <w:lang w:val="lv-LV"/>
              </w:rPr>
              <w:t xml:space="preserve">2014/709/ES </w:t>
            </w:r>
            <w:r w:rsidR="00C924C0" w:rsidRPr="00C924C0">
              <w:rPr>
                <w:lang w:val="lv-LV"/>
              </w:rPr>
              <w:t xml:space="preserve">par dzīvnieku veselības kontroles pasākumiem saistībā ar Āfrikas cūku mēri dažās dalībvalstīs </w:t>
            </w:r>
            <w:r w:rsidR="00305B0E">
              <w:rPr>
                <w:lang w:val="lv-LV"/>
              </w:rPr>
              <w:t xml:space="preserve">(turpmāk – </w:t>
            </w:r>
            <w:r w:rsidR="004C518D">
              <w:rPr>
                <w:lang w:val="lv-LV"/>
              </w:rPr>
              <w:t>Īstenošanas l</w:t>
            </w:r>
            <w:r w:rsidR="00EB35CE">
              <w:rPr>
                <w:lang w:val="lv-LV"/>
              </w:rPr>
              <w:t xml:space="preserve">ēmums </w:t>
            </w:r>
            <w:r w:rsidR="00532F5F">
              <w:rPr>
                <w:lang w:val="lv-LV"/>
              </w:rPr>
              <w:t>2015/1169</w:t>
            </w:r>
            <w:r w:rsidR="00305B0E">
              <w:rPr>
                <w:lang w:val="lv-LV"/>
              </w:rPr>
              <w:t>)</w:t>
            </w:r>
            <w:r w:rsidR="00EB35CE">
              <w:rPr>
                <w:lang w:val="lv-LV"/>
              </w:rPr>
              <w:t xml:space="preserve">. </w:t>
            </w:r>
            <w:r w:rsidR="001306C1">
              <w:rPr>
                <w:lang w:val="lv-LV"/>
              </w:rPr>
              <w:t>Polija</w:t>
            </w:r>
            <w:r w:rsidR="00532F5F">
              <w:rPr>
                <w:lang w:val="lv-LV"/>
              </w:rPr>
              <w:t>s</w:t>
            </w:r>
            <w:r w:rsidR="001306C1">
              <w:rPr>
                <w:lang w:val="lv-LV"/>
              </w:rPr>
              <w:t>, Lietuva</w:t>
            </w:r>
            <w:r w:rsidR="00532F5F">
              <w:rPr>
                <w:lang w:val="lv-LV"/>
              </w:rPr>
              <w:t>s</w:t>
            </w:r>
            <w:r w:rsidR="001306C1">
              <w:rPr>
                <w:lang w:val="lv-LV"/>
              </w:rPr>
              <w:t xml:space="preserve"> un Igaunija</w:t>
            </w:r>
            <w:r w:rsidR="00532F5F">
              <w:rPr>
                <w:lang w:val="lv-LV"/>
              </w:rPr>
              <w:t>s kompetentās iestādes</w:t>
            </w:r>
            <w:r w:rsidR="001306C1">
              <w:rPr>
                <w:lang w:val="lv-LV"/>
              </w:rPr>
              <w:t xml:space="preserve"> 2015.gada maijā </w:t>
            </w:r>
            <w:r w:rsidR="00532F5F" w:rsidRPr="00532F5F">
              <w:rPr>
                <w:lang w:val="lv-LV"/>
              </w:rPr>
              <w:t>Eiropas Komisijas Pastāvīgās komitejas dzīvnieku veselības, labturības, kontroles un impo</w:t>
            </w:r>
            <w:r w:rsidR="00532F5F">
              <w:rPr>
                <w:lang w:val="lv-LV"/>
              </w:rPr>
              <w:t xml:space="preserve">rta nosacījumu sekcijas sanāksmē </w:t>
            </w:r>
            <w:r w:rsidR="001306C1">
              <w:rPr>
                <w:lang w:val="lv-LV"/>
              </w:rPr>
              <w:t xml:space="preserve">ziņoja par vairākiem Āfrikas cūku mēra gadījumiem mežacūkām. </w:t>
            </w:r>
            <w:r w:rsidR="00532F5F">
              <w:rPr>
                <w:lang w:val="lv-LV"/>
              </w:rPr>
              <w:t>Eiropas Komisija, i</w:t>
            </w:r>
            <w:r w:rsidR="001306C1">
              <w:rPr>
                <w:lang w:val="lv-LV"/>
              </w:rPr>
              <w:t>zvērtējot risku</w:t>
            </w:r>
            <w:r w:rsidR="00EC5EE5">
              <w:rPr>
                <w:lang w:val="lv-LV"/>
              </w:rPr>
              <w:t xml:space="preserve"> un</w:t>
            </w:r>
            <w:r w:rsidR="001306C1">
              <w:rPr>
                <w:lang w:val="lv-LV"/>
              </w:rPr>
              <w:t xml:space="preserve"> ņemot vērā epidemioloģisko informāciju</w:t>
            </w:r>
            <w:r w:rsidR="00BE7DED">
              <w:rPr>
                <w:lang w:val="lv-LV"/>
              </w:rPr>
              <w:t>,</w:t>
            </w:r>
            <w:r w:rsidR="001306C1">
              <w:rPr>
                <w:lang w:val="lv-LV"/>
              </w:rPr>
              <w:t xml:space="preserve"> </w:t>
            </w:r>
            <w:r w:rsidR="00EC5EE5">
              <w:rPr>
                <w:lang w:val="lv-LV"/>
              </w:rPr>
              <w:t>kā arī</w:t>
            </w:r>
            <w:r w:rsidR="001306C1">
              <w:rPr>
                <w:lang w:val="lv-LV"/>
              </w:rPr>
              <w:t xml:space="preserve"> lai veiktu mērķtiecīgus dzīvnieku v</w:t>
            </w:r>
            <w:r w:rsidR="00BE7DED">
              <w:rPr>
                <w:lang w:val="lv-LV"/>
              </w:rPr>
              <w:t>eselības un kontroles pasākumus</w:t>
            </w:r>
            <w:r w:rsidR="00EC5EE5">
              <w:rPr>
                <w:lang w:val="lv-LV"/>
              </w:rPr>
              <w:t xml:space="preserve"> un</w:t>
            </w:r>
            <w:r w:rsidR="00BE7DED">
              <w:rPr>
                <w:lang w:val="lv-LV"/>
              </w:rPr>
              <w:t xml:space="preserve"> novērstu nevajadzīgus tirdzniecības traucējumus, ir izdarījusi grozījumus Īstenošanas lēmumā 2014/709/ES</w:t>
            </w:r>
            <w:r w:rsidR="00532F5F" w:rsidRPr="00532F5F">
              <w:rPr>
                <w:lang w:val="lv-LV"/>
              </w:rPr>
              <w:t xml:space="preserve"> par dzīvnieku veselības kontroles pasākumiem saistībā ar Āfrikas cūku mēri dažās dalībvalstīs</w:t>
            </w:r>
            <w:r w:rsidR="00BE7DED">
              <w:rPr>
                <w:lang w:val="lv-LV"/>
              </w:rPr>
              <w:t xml:space="preserve">.  </w:t>
            </w:r>
          </w:p>
          <w:p w:rsidR="004338D9" w:rsidRDefault="004338D9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Āfrikas cūku mēra uzraudzība, kontrole un apkarošana </w:t>
            </w:r>
            <w:r w:rsidR="00D37002">
              <w:rPr>
                <w:lang w:val="lv-LV"/>
              </w:rPr>
              <w:t xml:space="preserve">ir </w:t>
            </w:r>
            <w:r>
              <w:rPr>
                <w:lang w:val="lv-LV"/>
              </w:rPr>
              <w:t xml:space="preserve">noteikta Ministru kabineta 2004.gada 17.februāra noteikumos Nr.83 </w:t>
            </w:r>
            <w:r w:rsidR="003F21DA">
              <w:rPr>
                <w:lang w:val="lv-LV"/>
              </w:rPr>
              <w:t>„</w:t>
            </w:r>
            <w:r>
              <w:rPr>
                <w:lang w:val="lv-LV"/>
              </w:rPr>
              <w:t>Āfrikas cūku mēra likvidēšanas un draudu novēršanas kārtība</w:t>
            </w:r>
            <w:r w:rsidR="00C14BAF">
              <w:rPr>
                <w:lang w:val="lv-LV"/>
              </w:rPr>
              <w:t>”</w:t>
            </w:r>
            <w:r w:rsidR="00AF7992">
              <w:rPr>
                <w:lang w:val="lv-LV"/>
              </w:rPr>
              <w:t xml:space="preserve"> (turpmāk – noteikumi Nr.83)</w:t>
            </w:r>
            <w:r w:rsidR="00D37002">
              <w:rPr>
                <w:lang w:val="lv-LV"/>
              </w:rPr>
              <w:t xml:space="preserve">, kuros ir jāizdara </w:t>
            </w:r>
            <w:r w:rsidR="00AF7992">
              <w:rPr>
                <w:lang w:val="lv-LV"/>
              </w:rPr>
              <w:t>grozījum</w:t>
            </w:r>
            <w:r w:rsidR="00D37002">
              <w:rPr>
                <w:lang w:val="lv-LV"/>
              </w:rPr>
              <w:t>i, lai</w:t>
            </w:r>
            <w:r w:rsidR="00AF7992">
              <w:rPr>
                <w:lang w:val="lv-LV"/>
              </w:rPr>
              <w:t xml:space="preserve"> ie</w:t>
            </w:r>
            <w:r w:rsidR="00D37002">
              <w:rPr>
                <w:lang w:val="lv-LV"/>
              </w:rPr>
              <w:t>tvertu</w:t>
            </w:r>
            <w:r w:rsidR="00AF7992">
              <w:rPr>
                <w:lang w:val="lv-LV"/>
              </w:rPr>
              <w:t xml:space="preserve"> Īstenošanas</w:t>
            </w:r>
            <w:r w:rsidR="004C518D">
              <w:rPr>
                <w:lang w:val="lv-LV"/>
              </w:rPr>
              <w:t xml:space="preserve"> </w:t>
            </w:r>
            <w:r w:rsidR="00AF7992">
              <w:rPr>
                <w:lang w:val="lv-LV"/>
              </w:rPr>
              <w:t>lēmum</w:t>
            </w:r>
            <w:r w:rsidR="00D37002">
              <w:rPr>
                <w:lang w:val="lv-LV"/>
              </w:rPr>
              <w:t>a</w:t>
            </w:r>
            <w:r w:rsidR="00AF7992">
              <w:rPr>
                <w:lang w:val="lv-LV"/>
              </w:rPr>
              <w:t xml:space="preserve"> </w:t>
            </w:r>
            <w:r w:rsidR="00532F5F">
              <w:rPr>
                <w:lang w:val="lv-LV"/>
              </w:rPr>
              <w:t>2015/1169</w:t>
            </w:r>
            <w:r w:rsidR="008E1A59">
              <w:rPr>
                <w:lang w:val="lv-LV"/>
              </w:rPr>
              <w:t xml:space="preserve"> </w:t>
            </w:r>
            <w:r w:rsidR="00AF7992">
              <w:rPr>
                <w:lang w:val="lv-LV"/>
              </w:rPr>
              <w:t>normas.</w:t>
            </w:r>
          </w:p>
          <w:p w:rsidR="00C14BAF" w:rsidRDefault="004338D9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lēmumā </w:t>
            </w:r>
            <w:r w:rsidR="00532F5F">
              <w:rPr>
                <w:lang w:val="lv-LV"/>
              </w:rPr>
              <w:t>2015/1169</w:t>
            </w:r>
            <w:r w:rsidR="00F758A4">
              <w:rPr>
                <w:lang w:val="lv-LV"/>
              </w:rPr>
              <w:t xml:space="preserve"> </w:t>
            </w:r>
            <w:r w:rsidR="00BE7DED">
              <w:rPr>
                <w:lang w:val="lv-LV"/>
              </w:rPr>
              <w:t xml:space="preserve">precizētas </w:t>
            </w:r>
            <w:r w:rsidR="00532F5F">
              <w:rPr>
                <w:lang w:val="lv-LV"/>
              </w:rPr>
              <w:t xml:space="preserve">(palielinātas) </w:t>
            </w:r>
            <w:r w:rsidR="00BE7DED">
              <w:rPr>
                <w:lang w:val="lv-LV"/>
              </w:rPr>
              <w:t>I un II</w:t>
            </w:r>
            <w:r w:rsidR="00EC5EE5">
              <w:rPr>
                <w:lang w:val="lv-LV"/>
              </w:rPr>
              <w:t> </w:t>
            </w:r>
            <w:r w:rsidR="00BE7DED">
              <w:rPr>
                <w:lang w:val="lv-LV"/>
              </w:rPr>
              <w:t xml:space="preserve">riska zonas Igaunijas Republikā, Polijas Republikā un Lietuvas Republikā. </w:t>
            </w:r>
          </w:p>
          <w:p w:rsidR="00307454" w:rsidRDefault="00BE3ED7" w:rsidP="002512B0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Līdz ar to</w:t>
            </w:r>
            <w:r w:rsidR="00AF7992">
              <w:rPr>
                <w:lang w:val="lv-LV"/>
              </w:rPr>
              <w:t xml:space="preserve"> Ministru kabineta noteikumu projektā </w:t>
            </w:r>
            <w:r w:rsidR="003A4C44">
              <w:rPr>
                <w:lang w:val="lv-LV"/>
              </w:rPr>
              <w:t>„</w:t>
            </w:r>
            <w:r w:rsidR="00AF7992">
              <w:rPr>
                <w:lang w:val="lv-LV"/>
              </w:rPr>
              <w:t xml:space="preserve">Grozījumi Ministru kabineta </w:t>
            </w:r>
            <w:r w:rsidR="00AF7992" w:rsidRPr="00AF7992">
              <w:rPr>
                <w:bCs/>
                <w:lang w:val="lv-LV"/>
              </w:rPr>
              <w:t>2004.gada 17.februāra noteikumos Nr.83</w:t>
            </w:r>
            <w:r w:rsidR="00AF7992">
              <w:rPr>
                <w:bCs/>
                <w:lang w:val="lv-LV"/>
              </w:rPr>
              <w:t xml:space="preserve"> </w:t>
            </w:r>
            <w:r w:rsidR="00AF7992" w:rsidRPr="00AF7992">
              <w:rPr>
                <w:bCs/>
                <w:lang w:val="lv-LV"/>
              </w:rPr>
              <w:t>„Āfrikas cūku mēra likvidēšanas un draudu novēršanas kārtība””</w:t>
            </w:r>
            <w:r w:rsidR="00AF7992">
              <w:rPr>
                <w:bCs/>
                <w:lang w:val="lv-LV"/>
              </w:rPr>
              <w:t xml:space="preserve"> (turpmāk </w:t>
            </w:r>
            <w:r w:rsidR="00BE7DED">
              <w:rPr>
                <w:bCs/>
                <w:lang w:val="lv-LV"/>
              </w:rPr>
              <w:t>– noteikumu projekts</w:t>
            </w:r>
            <w:r w:rsidR="00F07D2A">
              <w:rPr>
                <w:bCs/>
                <w:lang w:val="lv-LV"/>
              </w:rPr>
              <w:t xml:space="preserve"> </w:t>
            </w:r>
            <w:r w:rsidR="00F07D2A" w:rsidRPr="00AD5F3C">
              <w:rPr>
                <w:bCs/>
                <w:lang w:val="lv-LV"/>
              </w:rPr>
              <w:t>(VSS – 804)</w:t>
            </w:r>
            <w:r w:rsidR="00BE7DED" w:rsidRPr="00AD5F3C">
              <w:rPr>
                <w:bCs/>
                <w:lang w:val="lv-LV"/>
              </w:rPr>
              <w:t>)</w:t>
            </w:r>
            <w:r w:rsidR="00BE7DED">
              <w:rPr>
                <w:bCs/>
                <w:lang w:val="lv-LV"/>
              </w:rPr>
              <w:t xml:space="preserve"> paredzēts </w:t>
            </w:r>
            <w:r w:rsidR="006A5F43">
              <w:rPr>
                <w:bCs/>
                <w:lang w:val="lv-LV"/>
              </w:rPr>
              <w:t xml:space="preserve">precizēt </w:t>
            </w:r>
            <w:r w:rsidR="00BE7DED">
              <w:rPr>
                <w:bCs/>
                <w:lang w:val="lv-LV"/>
              </w:rPr>
              <w:t>Igaunijas</w:t>
            </w:r>
            <w:r>
              <w:rPr>
                <w:bCs/>
                <w:lang w:val="lv-LV"/>
              </w:rPr>
              <w:t xml:space="preserve"> Republikā, </w:t>
            </w:r>
            <w:r w:rsidR="002512B0">
              <w:rPr>
                <w:bCs/>
                <w:lang w:val="lv-LV"/>
              </w:rPr>
              <w:t>Polijas</w:t>
            </w:r>
            <w:r>
              <w:rPr>
                <w:bCs/>
                <w:lang w:val="lv-LV"/>
              </w:rPr>
              <w:t xml:space="preserve"> Republikā un Lietuvas Republikā noteiktās I</w:t>
            </w:r>
            <w:r w:rsidR="00BE7DED">
              <w:rPr>
                <w:bCs/>
                <w:lang w:val="lv-LV"/>
              </w:rPr>
              <w:t xml:space="preserve"> un</w:t>
            </w:r>
            <w:r>
              <w:rPr>
                <w:bCs/>
                <w:lang w:val="lv-LV"/>
              </w:rPr>
              <w:t xml:space="preserve"> II </w:t>
            </w:r>
            <w:r w:rsidR="00532F5F">
              <w:rPr>
                <w:bCs/>
                <w:lang w:val="lv-LV"/>
              </w:rPr>
              <w:t xml:space="preserve">riska </w:t>
            </w:r>
            <w:r>
              <w:rPr>
                <w:bCs/>
                <w:lang w:val="lv-LV"/>
              </w:rPr>
              <w:t>zonas teritorijas</w:t>
            </w:r>
            <w:r w:rsidR="00BE7DED">
              <w:rPr>
                <w:bCs/>
                <w:lang w:val="lv-LV"/>
              </w:rPr>
              <w:t xml:space="preserve">. </w:t>
            </w:r>
            <w:r w:rsidR="00532F5F">
              <w:rPr>
                <w:bCs/>
                <w:lang w:val="lv-LV"/>
              </w:rPr>
              <w:t>Grozījumi nepieciešami, lai noteiktu, ka Latvijā nav atļauts ievest no minēto republiku II riska zonas dzīvus cūku sugas dzīvniekus un no tiem iegūtus dzīvnieku izcelsmes produktus un atsevišķus pārtikas produktus.</w:t>
            </w:r>
          </w:p>
          <w:p w:rsidR="0081663C" w:rsidRDefault="0081663C" w:rsidP="00F07D2A">
            <w:pPr>
              <w:jc w:val="both"/>
              <w:rPr>
                <w:bCs/>
                <w:lang w:val="lv-LV"/>
              </w:rPr>
            </w:pPr>
            <w:r w:rsidRPr="00D57DEC">
              <w:rPr>
                <w:bCs/>
                <w:lang w:val="lv-LV"/>
              </w:rPr>
              <w:t xml:space="preserve">Āfrikas cūku mēra epidemioloģiskā situācija Igaunijā ir ļoti strauji mainījusies pēdējo nedēļu laikā. </w:t>
            </w:r>
            <w:r w:rsidR="00CD1DE7">
              <w:rPr>
                <w:bCs/>
                <w:lang w:val="lv-LV"/>
              </w:rPr>
              <w:t>A</w:t>
            </w:r>
            <w:r w:rsidRPr="00D57DEC">
              <w:rPr>
                <w:bCs/>
                <w:lang w:val="lv-LV"/>
              </w:rPr>
              <w:t xml:space="preserve">rī Latvijā ir konstatēti jauni </w:t>
            </w:r>
            <w:r w:rsidR="00CD1DE7" w:rsidRPr="00D57DEC">
              <w:rPr>
                <w:bCs/>
                <w:lang w:val="lv-LV"/>
              </w:rPr>
              <w:t>gadījumi</w:t>
            </w:r>
            <w:r w:rsidR="00CD1DE7">
              <w:rPr>
                <w:bCs/>
                <w:lang w:val="lv-LV"/>
              </w:rPr>
              <w:t xml:space="preserve">, kad </w:t>
            </w:r>
            <w:r w:rsidRPr="00D57DEC">
              <w:rPr>
                <w:bCs/>
                <w:lang w:val="lv-LV"/>
              </w:rPr>
              <w:t>mežacūk</w:t>
            </w:r>
            <w:r w:rsidR="00CD1DE7">
              <w:rPr>
                <w:bCs/>
                <w:lang w:val="lv-LV"/>
              </w:rPr>
              <w:t>as</w:t>
            </w:r>
            <w:r w:rsidRPr="00D57DEC">
              <w:rPr>
                <w:bCs/>
                <w:lang w:val="lv-LV"/>
              </w:rPr>
              <w:t xml:space="preserve"> </w:t>
            </w:r>
            <w:r w:rsidR="00CD1DE7">
              <w:rPr>
                <w:bCs/>
                <w:lang w:val="lv-LV"/>
              </w:rPr>
              <w:t xml:space="preserve">ir </w:t>
            </w:r>
            <w:r w:rsidRPr="00D57DEC">
              <w:rPr>
                <w:bCs/>
                <w:lang w:val="lv-LV"/>
              </w:rPr>
              <w:t>saslim</w:t>
            </w:r>
            <w:r w:rsidR="00CD1DE7">
              <w:rPr>
                <w:bCs/>
                <w:lang w:val="lv-LV"/>
              </w:rPr>
              <w:t>ušas</w:t>
            </w:r>
            <w:r w:rsidRPr="00D57DEC">
              <w:rPr>
                <w:bCs/>
                <w:lang w:val="lv-LV"/>
              </w:rPr>
              <w:t xml:space="preserve"> ar Āfrikas cūku mēri. Atsevišķi gadījumi ir konstatēti II</w:t>
            </w:r>
            <w:r w:rsidR="00F07D2A" w:rsidRPr="00D57DEC">
              <w:rPr>
                <w:bCs/>
                <w:lang w:val="lv-LV"/>
              </w:rPr>
              <w:t xml:space="preserve"> </w:t>
            </w:r>
            <w:r w:rsidRPr="00D57DEC">
              <w:rPr>
                <w:bCs/>
                <w:lang w:val="lv-LV"/>
              </w:rPr>
              <w:t>riska zonā ļoti tuvu I</w:t>
            </w:r>
            <w:r w:rsidR="00CD1DE7">
              <w:rPr>
                <w:bCs/>
                <w:lang w:val="lv-LV"/>
              </w:rPr>
              <w:t> </w:t>
            </w:r>
            <w:r w:rsidRPr="00D57DEC">
              <w:rPr>
                <w:bCs/>
                <w:lang w:val="lv-LV"/>
              </w:rPr>
              <w:t>riska zonai. Lai veiktu mērķtiecīgus dzīvnieku veselības kontroles pasākumus un nepieļautu Āfrikas cūku mēra tālāku izplatīšanos, kā arī novērstu nevajadzīgus tirdzniecības traucējumus Eiropas Savienībā</w:t>
            </w:r>
            <w:r w:rsidR="00F07D2A" w:rsidRPr="00D57DEC">
              <w:rPr>
                <w:bCs/>
                <w:lang w:val="lv-LV"/>
              </w:rPr>
              <w:t xml:space="preserve"> un izvairītos no tā, ka trešās valstis nosaka nepamatotus šķēršļus tirdzniecībai, bija nepieciešams </w:t>
            </w:r>
            <w:r w:rsidR="00CD1DE7">
              <w:rPr>
                <w:bCs/>
                <w:lang w:val="lv-LV"/>
              </w:rPr>
              <w:t>izdarīt</w:t>
            </w:r>
            <w:r w:rsidR="00F07D2A" w:rsidRPr="00D57DEC">
              <w:rPr>
                <w:bCs/>
                <w:lang w:val="lv-LV"/>
              </w:rPr>
              <w:t xml:space="preserve"> grozījumus </w:t>
            </w:r>
            <w:r w:rsidR="00F07D2A" w:rsidRPr="00D57DEC">
              <w:rPr>
                <w:bCs/>
                <w:lang w:val="lv-LV"/>
              </w:rPr>
              <w:lastRenderedPageBreak/>
              <w:t xml:space="preserve">Īstenošanas lēmumā Nr.2014/709/ES. </w:t>
            </w:r>
            <w:r w:rsidRPr="00D57DEC">
              <w:rPr>
                <w:bCs/>
                <w:lang w:val="lv-LV"/>
              </w:rPr>
              <w:t>Tāpēc Eiropas Komisija sagatavoja</w:t>
            </w:r>
            <w:r w:rsidR="00F07D2A" w:rsidRPr="00D57DEC">
              <w:rPr>
                <w:bCs/>
                <w:lang w:val="lv-LV"/>
              </w:rPr>
              <w:t>, Eiropas Savienības dalībvalstu eksperti atbalstīja un Eiropas Komisija</w:t>
            </w:r>
            <w:r w:rsidRPr="00D57DEC">
              <w:rPr>
                <w:bCs/>
                <w:lang w:val="lv-LV"/>
              </w:rPr>
              <w:t xml:space="preserve"> 2015.gada 31.jūlijā Eiropas Savienības Oficiālajā Vēstnesī publicēja Komisijas 2015.gada 29.jūlija lēmum</w:t>
            </w:r>
            <w:r w:rsidR="00CD1DE7">
              <w:rPr>
                <w:bCs/>
                <w:lang w:val="lv-LV"/>
              </w:rPr>
              <w:t>u</w:t>
            </w:r>
            <w:r w:rsidRPr="00D57DEC">
              <w:rPr>
                <w:bCs/>
                <w:lang w:val="lv-LV"/>
              </w:rPr>
              <w:t xml:space="preserve"> Nr.2015/1318/ES, ar ko attiecībā uz ierakstiem par Igauniju un Latviju groza pielikumu Īstenošanas lēmumam 2014/709/ES par dzīvnieku veselības kontroles pasākumiem saistībā ar Āfrikas cūku mēri dažās dalībvalstīs</w:t>
            </w:r>
            <w:r w:rsidR="00F07D2A" w:rsidRPr="00D57DEC">
              <w:rPr>
                <w:bCs/>
                <w:lang w:val="lv-LV"/>
              </w:rPr>
              <w:t xml:space="preserve"> (turpmāk – Īstenošanas lēmums Nr.2015/1318/ES)</w:t>
            </w:r>
            <w:r w:rsidRPr="00D57DEC">
              <w:rPr>
                <w:bCs/>
                <w:lang w:val="lv-LV"/>
              </w:rPr>
              <w:t xml:space="preserve">. </w:t>
            </w:r>
            <w:r w:rsidR="00F07D2A" w:rsidRPr="00D57DEC">
              <w:rPr>
                <w:bCs/>
                <w:lang w:val="lv-LV"/>
              </w:rPr>
              <w:t xml:space="preserve">Valsts sekretāru sanāksmes 2015.gada 30.jūlija sanāksmē izsludinātais noteikumu projekts (VSS – 804) ir papildināts ar Īstenošanas lēmumā </w:t>
            </w:r>
            <w:r w:rsidR="00D57DEC">
              <w:rPr>
                <w:bCs/>
                <w:lang w:val="lv-LV"/>
              </w:rPr>
              <w:t xml:space="preserve">Nr.2015/1318/ES </w:t>
            </w:r>
            <w:r w:rsidR="00F07D2A" w:rsidRPr="00D57DEC">
              <w:rPr>
                <w:bCs/>
                <w:lang w:val="lv-LV"/>
              </w:rPr>
              <w:t>noteiktajām teritorijām.</w:t>
            </w:r>
          </w:p>
          <w:p w:rsidR="00D57DEC" w:rsidRPr="00AD5F3C" w:rsidRDefault="00D57DEC" w:rsidP="00D57DEC">
            <w:pPr>
              <w:jc w:val="both"/>
              <w:rPr>
                <w:bCs/>
                <w:lang w:val="lv-LV"/>
              </w:rPr>
            </w:pPr>
            <w:r w:rsidRPr="00AD5F3C">
              <w:rPr>
                <w:bCs/>
                <w:lang w:val="lv-LV"/>
              </w:rPr>
              <w:t xml:space="preserve">2015.gada 8.augustā Eiropas Savienības Oficiālajā Vēstnesī </w:t>
            </w:r>
            <w:r w:rsidR="00CD1DE7">
              <w:rPr>
                <w:bCs/>
                <w:lang w:val="lv-LV"/>
              </w:rPr>
              <w:t xml:space="preserve">ir </w:t>
            </w:r>
            <w:r w:rsidRPr="00AD5F3C">
              <w:rPr>
                <w:bCs/>
                <w:lang w:val="lv-LV"/>
              </w:rPr>
              <w:t xml:space="preserve">publicēts Komisijas 2015.gada 7.augusta lēmums Nr.2015/1372/ES, ar ko attiecībā uz ierakstiem par Igauniju, Latviju un Lietuvu groza pielikumu Īstenošanas lēmumam 2014/709/ES par dzīvnieku veselības kontroles pasākumiem saistībā ar Āfrikas cūku mēri dažās dalībvalstīs (turpmāk – Īstenošanas lēmums Nr.2015/1372/ES). Valsts sekretāru sanāksmes 2015.gada 30.jūlija sanāksmē izsludinātais noteikumu projekts (VSS – 804) ir papildināts ar Īstenošanas lēmumā Nr.2015/1372/ES noteiktajām teritorijām. Normatīvā akta ērtākai uztverei un pārskatāmībai pielikuma punkti, kuros jau iepriekš ir </w:t>
            </w:r>
            <w:r w:rsidR="00CD1DE7">
              <w:rPr>
                <w:bCs/>
                <w:lang w:val="lv-LV"/>
              </w:rPr>
              <w:t>izdarīti</w:t>
            </w:r>
            <w:r w:rsidRPr="00AD5F3C">
              <w:rPr>
                <w:bCs/>
                <w:lang w:val="lv-LV"/>
              </w:rPr>
              <w:t xml:space="preserve"> daudzi labojumi, ir izteikti jaunā redakcijā.</w:t>
            </w:r>
          </w:p>
          <w:p w:rsidR="00D57DEC" w:rsidRPr="00D57DEC" w:rsidRDefault="00D57DEC" w:rsidP="00D57DEC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5D73DE" w:rsidRPr="009E2709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9E2709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:rsidR="004D267D" w:rsidRPr="009E2709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5"/>
        <w:gridCol w:w="2702"/>
        <w:gridCol w:w="6571"/>
      </w:tblGrid>
      <w:tr w:rsidR="005D73DE" w:rsidRPr="00A919CE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41118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E41118">
              <w:rPr>
                <w:b/>
                <w:szCs w:val="28"/>
                <w:lang w:val="lv-LV"/>
              </w:rPr>
              <w:t>,</w:t>
            </w:r>
            <w:r w:rsidR="00D533EA" w:rsidRPr="00E41118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A919CE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2971" w:rsidRPr="00E312B1" w:rsidRDefault="00E312B1" w:rsidP="007F16EF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 xml:space="preserve">Noteikumu projekta tiesiskais regulējums attiecas uz lauksaimniecības dzīvnieku īpašniekiem un turētājiem, kas audzē un tur </w:t>
            </w:r>
            <w:r>
              <w:rPr>
                <w:lang w:val="lv-LV"/>
              </w:rPr>
              <w:t>cūku sugas dzīvniekus</w:t>
            </w:r>
            <w:r w:rsidRPr="00E312B1">
              <w:rPr>
                <w:lang w:val="lv-LV"/>
              </w:rPr>
              <w:t xml:space="preserve">. </w:t>
            </w:r>
            <w:r w:rsidR="009036E0">
              <w:rPr>
                <w:lang w:val="lv-LV"/>
              </w:rPr>
              <w:t xml:space="preserve">Pēc </w:t>
            </w:r>
            <w:r w:rsidRPr="00E312B1">
              <w:rPr>
                <w:lang w:val="lv-LV"/>
              </w:rPr>
              <w:t>Lauksaimniecības datu centra tīmekļa vietnē pieejam</w:t>
            </w:r>
            <w:r w:rsidR="009036E0">
              <w:rPr>
                <w:lang w:val="lv-LV"/>
              </w:rPr>
              <w:t>ās</w:t>
            </w:r>
            <w:r w:rsidRPr="00E312B1">
              <w:rPr>
                <w:lang w:val="lv-LV"/>
              </w:rPr>
              <w:t xml:space="preserve"> informācij</w:t>
            </w:r>
            <w:r w:rsidR="009036E0">
              <w:rPr>
                <w:lang w:val="lv-LV"/>
              </w:rPr>
              <w:t>as,</w:t>
            </w:r>
            <w:r w:rsidR="00985B95">
              <w:rPr>
                <w:lang w:val="lv-LV"/>
              </w:rPr>
              <w:t xml:space="preserve"> Latvijā 2015</w:t>
            </w:r>
            <w:r w:rsidRPr="00E312B1">
              <w:rPr>
                <w:lang w:val="lv-LV"/>
              </w:rPr>
              <w:t>.gada 1.janvārī bija</w:t>
            </w:r>
            <w:r>
              <w:rPr>
                <w:lang w:val="lv-LV"/>
              </w:rPr>
              <w:t xml:space="preserve"> </w:t>
            </w:r>
            <w:r w:rsidR="00985B95" w:rsidRPr="00985B95">
              <w:rPr>
                <w:lang w:val="lv-LV"/>
              </w:rPr>
              <w:t>7428</w:t>
            </w:r>
            <w:r>
              <w:rPr>
                <w:lang w:val="lv-LV"/>
              </w:rPr>
              <w:t xml:space="preserve"> cūku sugas dzīvnieku īpašnieki</w:t>
            </w:r>
            <w:r w:rsidR="00AC18A0">
              <w:rPr>
                <w:lang w:val="lv-LV"/>
              </w:rPr>
              <w:t>,</w:t>
            </w:r>
            <w:r w:rsidR="00985B95">
              <w:rPr>
                <w:lang w:val="lv-LV"/>
              </w:rPr>
              <w:t xml:space="preserve"> tai ska</w:t>
            </w:r>
            <w:r w:rsidR="00AC18A0">
              <w:rPr>
                <w:lang w:val="lv-LV"/>
              </w:rPr>
              <w:t>i</w:t>
            </w:r>
            <w:r w:rsidR="00985B95">
              <w:rPr>
                <w:lang w:val="lv-LV"/>
              </w:rPr>
              <w:t xml:space="preserve">tā </w:t>
            </w:r>
            <w:r w:rsidR="00AC18A0" w:rsidRPr="00985B95">
              <w:rPr>
                <w:lang w:val="lv-LV"/>
              </w:rPr>
              <w:t>7399</w:t>
            </w:r>
            <w:r w:rsidR="00AC18A0">
              <w:rPr>
                <w:lang w:val="lv-LV"/>
              </w:rPr>
              <w:t> </w:t>
            </w:r>
            <w:r w:rsidR="00985B95">
              <w:rPr>
                <w:lang w:val="lv-LV"/>
              </w:rPr>
              <w:t>c</w:t>
            </w:r>
            <w:r w:rsidR="00985B95" w:rsidRPr="00985B95">
              <w:rPr>
                <w:lang w:val="lv-LV"/>
              </w:rPr>
              <w:t>ūku sugas dzīvnieku īpašnieki</w:t>
            </w:r>
            <w:r w:rsidR="007F16EF">
              <w:rPr>
                <w:lang w:val="lv-LV"/>
              </w:rPr>
              <w:t>, k</w:t>
            </w:r>
            <w:r w:rsidR="00EC5EE5">
              <w:rPr>
                <w:lang w:val="lv-LV"/>
              </w:rPr>
              <w:t>as</w:t>
            </w:r>
            <w:r w:rsidR="007F16EF">
              <w:rPr>
                <w:lang w:val="lv-LV"/>
              </w:rPr>
              <w:t xml:space="preserve"> netur mežacūkas</w:t>
            </w:r>
            <w:r w:rsidRPr="00E312B1">
              <w:rPr>
                <w:lang w:val="lv-LV"/>
              </w:rPr>
              <w:t>.</w:t>
            </w:r>
          </w:p>
        </w:tc>
      </w:tr>
      <w:tr w:rsidR="005D73DE" w:rsidRPr="00CD1DE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7454" w:rsidRPr="00E04435" w:rsidRDefault="00BE7DED" w:rsidP="00FA7D73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projekts šo jomu neskar.</w:t>
            </w:r>
          </w:p>
        </w:tc>
      </w:tr>
      <w:tr w:rsidR="005D73DE" w:rsidRPr="00CD1DE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9E2709" w:rsidRDefault="00603F7B" w:rsidP="005D73DE">
            <w:pPr>
              <w:jc w:val="both"/>
              <w:rPr>
                <w:lang w:val="lv-LV"/>
              </w:rPr>
            </w:pPr>
            <w:r w:rsidRPr="00603F7B">
              <w:rPr>
                <w:lang w:val="lv-LV"/>
              </w:rPr>
              <w:t>Noteikumu projekts šo jomu neskar.</w:t>
            </w:r>
          </w:p>
        </w:tc>
      </w:tr>
      <w:tr w:rsidR="005D73DE" w:rsidRPr="009E2709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:rsidR="00421107" w:rsidRDefault="00421107" w:rsidP="00C21DCA">
      <w:pPr>
        <w:jc w:val="both"/>
        <w:rPr>
          <w:i/>
          <w:lang w:val="lv-LV" w:eastAsia="lv-LV"/>
        </w:rPr>
      </w:pPr>
    </w:p>
    <w:p w:rsidR="00A162FE" w:rsidRPr="00BB4FA5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 xml:space="preserve">Anotācijas III </w:t>
      </w:r>
      <w:r w:rsidR="00C14BAF">
        <w:rPr>
          <w:i/>
          <w:lang w:val="lv-LV" w:eastAsia="lv-LV"/>
        </w:rPr>
        <w:t xml:space="preserve">un IV </w:t>
      </w:r>
      <w:r w:rsidRPr="00E312B1">
        <w:rPr>
          <w:i/>
          <w:lang w:val="lv-LV" w:eastAsia="lv-LV"/>
        </w:rPr>
        <w:t>sadaļa 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</w:p>
    <w:p w:rsidR="00792971" w:rsidRPr="009E2709" w:rsidRDefault="00792971" w:rsidP="00C21DCA">
      <w:pPr>
        <w:jc w:val="both"/>
        <w:rPr>
          <w:i/>
          <w:lang w:val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521"/>
        <w:gridCol w:w="2417"/>
        <w:gridCol w:w="400"/>
        <w:gridCol w:w="1859"/>
        <w:gridCol w:w="1125"/>
        <w:gridCol w:w="981"/>
        <w:gridCol w:w="2388"/>
        <w:gridCol w:w="16"/>
      </w:tblGrid>
      <w:tr w:rsidR="005D73DE" w:rsidRPr="00CD1DE7" w:rsidTr="00D57DEC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E41118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A919CE" w:rsidTr="00D57DE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7D2A" w:rsidRDefault="00C14BAF" w:rsidP="00F07D2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projektā iekļautas tiesību normas, kas izriet no</w:t>
            </w:r>
            <w:r w:rsidR="00F07D2A">
              <w:rPr>
                <w:lang w:val="lv-LV"/>
              </w:rPr>
              <w:t>: 1</w:t>
            </w:r>
            <w:r w:rsidR="00CD1DE7">
              <w:rPr>
                <w:lang w:val="lv-LV"/>
              </w:rPr>
              <w:t>) </w:t>
            </w:r>
            <w:r w:rsidR="00170801" w:rsidRPr="00170801">
              <w:rPr>
                <w:lang w:val="lv-LV"/>
              </w:rPr>
              <w:t>Komisijas 2015.gada 14.jūlija Īstenošanas lēmum</w:t>
            </w:r>
            <w:r w:rsidR="00170801">
              <w:rPr>
                <w:lang w:val="lv-LV"/>
              </w:rPr>
              <w:t>a</w:t>
            </w:r>
            <w:r w:rsidR="00170801" w:rsidRPr="00170801">
              <w:rPr>
                <w:lang w:val="lv-LV"/>
              </w:rPr>
              <w:t xml:space="preserve"> 2015/1169, ar ko attiecībā uz ierakstiem par Igauniju, Lietuvu un Poliju groza pielikumu Īstenošanas lēmumam  2014/709/ES par dzīvnieku veselības kontroles pasākumiem saistībā ar Āfrikas cūku mēri dažās dalībvalstīs</w:t>
            </w:r>
            <w:r w:rsidR="00F07D2A">
              <w:rPr>
                <w:lang w:val="lv-LV"/>
              </w:rPr>
              <w:t>;</w:t>
            </w:r>
          </w:p>
          <w:p w:rsidR="009E04D3" w:rsidRDefault="00F07D2A" w:rsidP="00F07D2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D1DE7">
              <w:rPr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  <w:r w:rsidRPr="00D57DEC">
              <w:rPr>
                <w:bCs/>
                <w:lang w:val="lv-LV"/>
              </w:rPr>
              <w:t>Komisijas 2015.gada 29.jūlija lēmum</w:t>
            </w:r>
            <w:r w:rsidR="00CD1DE7">
              <w:rPr>
                <w:bCs/>
                <w:lang w:val="lv-LV"/>
              </w:rPr>
              <w:t>a</w:t>
            </w:r>
            <w:r w:rsidRPr="00D57DEC">
              <w:rPr>
                <w:bCs/>
                <w:lang w:val="lv-LV"/>
              </w:rPr>
              <w:t xml:space="preserve"> Nr.2015/1318/ES, ar ko attiecībā uz ierakstiem par Igauniju un Latviju groza pielikumu Īstenošanas lēmumam 2014/709/ES par dzīvnieku veselības kontroles pasākumiem saistībā ar Āfrikas cūku mēri dažās dalībvalstīs</w:t>
            </w:r>
            <w:r w:rsidR="00D57DEC">
              <w:rPr>
                <w:lang w:val="lv-LV"/>
              </w:rPr>
              <w:t>;</w:t>
            </w:r>
          </w:p>
          <w:p w:rsidR="00D57DEC" w:rsidRPr="00AD5F3C" w:rsidRDefault="00D57DEC" w:rsidP="00F07D2A">
            <w:pPr>
              <w:jc w:val="both"/>
              <w:rPr>
                <w:bCs/>
                <w:lang w:val="lv-LV"/>
              </w:rPr>
            </w:pPr>
            <w:r w:rsidRPr="00AD5F3C">
              <w:rPr>
                <w:lang w:val="lv-LV"/>
              </w:rPr>
              <w:t>3</w:t>
            </w:r>
            <w:r w:rsidR="00CD1DE7">
              <w:rPr>
                <w:lang w:val="lv-LV"/>
              </w:rPr>
              <w:t>)</w:t>
            </w:r>
            <w:r w:rsidRPr="00AD5F3C">
              <w:rPr>
                <w:lang w:val="lv-LV"/>
              </w:rPr>
              <w:t xml:space="preserve"> </w:t>
            </w:r>
            <w:r w:rsidRPr="00AD5F3C">
              <w:rPr>
                <w:bCs/>
                <w:lang w:val="lv-LV"/>
              </w:rPr>
              <w:t>Komisijas 2015.gada 7.augusta lēmum</w:t>
            </w:r>
            <w:r w:rsidR="00CD1DE7">
              <w:rPr>
                <w:bCs/>
                <w:lang w:val="lv-LV"/>
              </w:rPr>
              <w:t>a</w:t>
            </w:r>
            <w:r w:rsidRPr="00AD5F3C">
              <w:rPr>
                <w:bCs/>
                <w:lang w:val="lv-LV"/>
              </w:rPr>
              <w:t xml:space="preserve"> Nr.2015/1372/ES, ar ko attiecībā uz ierakstiem par Igauniju, Latviju un Lietuvu groza pielikumu Īstenošanas lēmumam 2014/709/ES par dzīvnieku veselības kontroles pasākumiem saistībā ar Āfrikas cūku mēri dažās dalībvalstīs.</w:t>
            </w:r>
          </w:p>
          <w:p w:rsidR="00792971" w:rsidRPr="009E2709" w:rsidRDefault="00792971" w:rsidP="00F07D2A">
            <w:pPr>
              <w:jc w:val="both"/>
              <w:rPr>
                <w:lang w:val="lv-LV"/>
              </w:rPr>
            </w:pPr>
          </w:p>
        </w:tc>
      </w:tr>
      <w:tr w:rsidR="005D73DE" w:rsidRPr="00F20442" w:rsidTr="00D57DE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F20442" w:rsidTr="00D57DE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CD1DE7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8"/>
            <w:vAlign w:val="center"/>
          </w:tcPr>
          <w:p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A919CE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484" w:type="pct"/>
            <w:gridSpan w:val="6"/>
          </w:tcPr>
          <w:p w:rsidR="00FB20CF" w:rsidRPr="00170801" w:rsidRDefault="00170801" w:rsidP="00BE7DED">
            <w:pPr>
              <w:pStyle w:val="naiskr"/>
              <w:spacing w:before="0" w:beforeAutospacing="0" w:after="0" w:afterAutospacing="0"/>
              <w:jc w:val="both"/>
            </w:pPr>
            <w:r w:rsidRPr="00170801">
              <w:t>Komisijas 2015.gada 14.jūlija Īstenošanas lēmums 2015/1169, ar ko attiecībā uz ierakstiem par Igauniju, Lietuvu un Poliju groza pielikumu Īstenošanas lēmumam  2014/709/ES par dzīvnieku veselības kontroles pasākumiem saistībā ar Āfrikas cūku mēri dažās dalībvalstīs (turpmāk – īstenošanas lēmums 2015/1169).</w:t>
            </w:r>
          </w:p>
        </w:tc>
      </w:tr>
      <w:tr w:rsidR="005D73DE" w:rsidRPr="00384CF4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4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A919CE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  <w:gridSpan w:val="2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  sniedz attiecīgu skaidrojumu, kā arī precīzi norāda, kad un kādā veidā ES tiesību akta vienība tiks pārņemta vai ieviesta pilnībā.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Norāda institūciju, kas ir atbildīga par </w:t>
            </w:r>
            <w:r w:rsidRPr="009E2709">
              <w:lastRenderedPageBreak/>
              <w:t>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Norāda iespējamās alternatīvas (t.sk. alternatīvas, kas neparedz tiesiskā regulējuma izstrādi) – kādos gadījumos būtu </w:t>
            </w:r>
            <w:r w:rsidRPr="009E2709">
              <w:lastRenderedPageBreak/>
              <w:t>iespējams izvairīties no stingrāku prasību noteikšanas, nekā paredzēts attiecīgajos ES tiesību aktos</w:t>
            </w:r>
          </w:p>
        </w:tc>
      </w:tr>
      <w:tr w:rsidR="005D73DE" w:rsidRPr="00A919CE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FB20CF" w:rsidRPr="009E2709" w:rsidRDefault="00801D1A" w:rsidP="00BE7DE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Īstenošanas l</w:t>
            </w:r>
            <w:r w:rsidR="00F539B1">
              <w:rPr>
                <w:lang w:val="lv-LV"/>
              </w:rPr>
              <w:t xml:space="preserve">ēmuma </w:t>
            </w:r>
            <w:r w:rsidR="00170801">
              <w:rPr>
                <w:lang w:val="lv-LV"/>
              </w:rPr>
              <w:t>2015/1169 1.pants</w:t>
            </w:r>
          </w:p>
        </w:tc>
        <w:tc>
          <w:tcPr>
            <w:tcW w:w="1163" w:type="pct"/>
            <w:gridSpan w:val="2"/>
          </w:tcPr>
          <w:p w:rsidR="00FB20CF" w:rsidRPr="009E2709" w:rsidRDefault="00170801" w:rsidP="006A6C10">
            <w:pPr>
              <w:pStyle w:val="naiskr"/>
              <w:spacing w:before="0" w:beforeAutospacing="0" w:after="0" w:afterAutospacing="0"/>
            </w:pPr>
            <w:r>
              <w:t>5., 6., 7., 8., 9., 10.</w:t>
            </w:r>
            <w:r w:rsidR="006A6C10">
              <w:t>,</w:t>
            </w:r>
            <w:r>
              <w:t xml:space="preserve"> 11.</w:t>
            </w:r>
            <w:r w:rsidR="006A6C10">
              <w:t xml:space="preserve"> un 12.</w:t>
            </w:r>
            <w:r>
              <w:t>punkts</w:t>
            </w:r>
          </w:p>
        </w:tc>
        <w:tc>
          <w:tcPr>
            <w:tcW w:w="1084" w:type="pct"/>
            <w:gridSpan w:val="2"/>
          </w:tcPr>
          <w:p w:rsidR="00FB20C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FB20CF" w:rsidRPr="00E312B1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6A6C10" w:rsidRPr="00A919CE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6A6C10" w:rsidRDefault="006A6C10" w:rsidP="006A6C1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Īstenošanas lēmuma 2015/1318 1.pants</w:t>
            </w:r>
          </w:p>
        </w:tc>
        <w:tc>
          <w:tcPr>
            <w:tcW w:w="1163" w:type="pct"/>
            <w:gridSpan w:val="2"/>
          </w:tcPr>
          <w:p w:rsidR="006A6C10" w:rsidRDefault="006A6C10" w:rsidP="006A6C10">
            <w:pPr>
              <w:pStyle w:val="naiskr"/>
              <w:spacing w:before="0" w:beforeAutospacing="0" w:after="0" w:afterAutospacing="0"/>
            </w:pPr>
            <w:r>
              <w:t>1., 2.,3., 4., 5., 6., 11. un 13.</w:t>
            </w:r>
            <w:r w:rsidR="00CD1DE7">
              <w:t> punkts</w:t>
            </w:r>
          </w:p>
        </w:tc>
        <w:tc>
          <w:tcPr>
            <w:tcW w:w="1084" w:type="pct"/>
            <w:gridSpan w:val="2"/>
          </w:tcPr>
          <w:p w:rsidR="006A6C10" w:rsidRPr="009E2709" w:rsidRDefault="006A6C10" w:rsidP="006A6C10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6A6C10" w:rsidRPr="00E312B1" w:rsidRDefault="006A6C10" w:rsidP="006A6C10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D57DEC" w:rsidRPr="00A919CE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D57DEC" w:rsidRPr="00AD5F3C" w:rsidRDefault="00D57DEC" w:rsidP="00D57DEC">
            <w:pPr>
              <w:jc w:val="both"/>
              <w:rPr>
                <w:lang w:val="lv-LV"/>
              </w:rPr>
            </w:pPr>
            <w:r w:rsidRPr="00AD5F3C">
              <w:rPr>
                <w:lang w:val="lv-LV"/>
              </w:rPr>
              <w:t>Īstenošanas lēmuma 2015/1372 1.pants</w:t>
            </w:r>
          </w:p>
        </w:tc>
        <w:tc>
          <w:tcPr>
            <w:tcW w:w="1163" w:type="pct"/>
            <w:gridSpan w:val="2"/>
          </w:tcPr>
          <w:p w:rsidR="00D57DEC" w:rsidRPr="00AD5F3C" w:rsidRDefault="00D57DEC" w:rsidP="00D57DEC">
            <w:pPr>
              <w:pStyle w:val="naiskr"/>
              <w:spacing w:before="0" w:beforeAutospacing="0" w:after="0" w:afterAutospacing="0"/>
            </w:pPr>
            <w:r w:rsidRPr="00AD5F3C">
              <w:t>1., 2., 3., 6. un 7.</w:t>
            </w:r>
            <w:r w:rsidR="00CD1DE7">
              <w:t> punkts</w:t>
            </w:r>
          </w:p>
        </w:tc>
        <w:tc>
          <w:tcPr>
            <w:tcW w:w="1084" w:type="pct"/>
            <w:gridSpan w:val="2"/>
          </w:tcPr>
          <w:p w:rsidR="00D57DEC" w:rsidRPr="00AD5F3C" w:rsidRDefault="00D57DEC" w:rsidP="00D57DEC">
            <w:pPr>
              <w:pStyle w:val="naiskr"/>
              <w:spacing w:before="0" w:beforeAutospacing="0" w:after="0" w:afterAutospacing="0"/>
              <w:jc w:val="both"/>
            </w:pPr>
            <w:r w:rsidRPr="00AD5F3C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D57DEC" w:rsidRPr="00AD5F3C" w:rsidRDefault="00D57DEC" w:rsidP="00D57DEC">
            <w:pPr>
              <w:pStyle w:val="naiskr"/>
              <w:spacing w:before="0" w:beforeAutospacing="0" w:after="0" w:afterAutospacing="0"/>
              <w:jc w:val="both"/>
            </w:pPr>
            <w:r w:rsidRPr="00AD5F3C">
              <w:t>Attiecīgais noteikumu projekta punkts neparedz stingrākas prasības kā ES tiesību aktā.</w:t>
            </w:r>
          </w:p>
        </w:tc>
      </w:tr>
      <w:tr w:rsidR="00D57DEC" w:rsidRPr="00CD1DE7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both"/>
            </w:pPr>
            <w:r w:rsidRPr="009E2709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484" w:type="pct"/>
            <w:gridSpan w:val="6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both"/>
            </w:pPr>
            <w:r>
              <w:t>Noteikumu projekts šo jomu neskar.</w:t>
            </w:r>
          </w:p>
        </w:tc>
      </w:tr>
      <w:tr w:rsidR="00D57DEC" w:rsidRPr="00CD1DE7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6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</w:pPr>
            <w:r>
              <w:t>Noteikumu projekts šo jomu neskar.</w:t>
            </w:r>
          </w:p>
        </w:tc>
      </w:tr>
      <w:tr w:rsidR="00D57DEC" w:rsidRPr="009E2709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  <w:tr w:rsidR="00D57DEC" w:rsidRPr="009E2709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8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D57DEC" w:rsidRPr="00CD1DE7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484" w:type="pct"/>
            <w:gridSpan w:val="6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both"/>
            </w:pPr>
            <w:r w:rsidRPr="00957F30">
              <w:t>Noteikumu projekts šo jomu neskar.</w:t>
            </w:r>
          </w:p>
        </w:tc>
      </w:tr>
      <w:tr w:rsidR="00D57DEC" w:rsidRPr="009E2709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  <w:vAlign w:val="center"/>
          </w:tcPr>
          <w:p w:rsidR="00D57DEC" w:rsidRPr="009E2709" w:rsidRDefault="00D57DEC" w:rsidP="00D57DEC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A</w:t>
            </w:r>
          </w:p>
        </w:tc>
        <w:tc>
          <w:tcPr>
            <w:tcW w:w="1742" w:type="pct"/>
            <w:gridSpan w:val="3"/>
            <w:vAlign w:val="center"/>
          </w:tcPr>
          <w:p w:rsidR="00D57DEC" w:rsidRPr="009E2709" w:rsidRDefault="00D57DEC" w:rsidP="00D57DEC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B</w:t>
            </w:r>
          </w:p>
        </w:tc>
        <w:tc>
          <w:tcPr>
            <w:tcW w:w="1742" w:type="pct"/>
            <w:gridSpan w:val="3"/>
            <w:vAlign w:val="center"/>
          </w:tcPr>
          <w:p w:rsidR="00D57DEC" w:rsidRPr="009E2709" w:rsidRDefault="00D57DEC" w:rsidP="00D57DEC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C</w:t>
            </w:r>
          </w:p>
        </w:tc>
      </w:tr>
      <w:tr w:rsidR="00D57DEC" w:rsidRPr="00A919CE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D57DEC" w:rsidRPr="009E2709" w:rsidRDefault="00D57DEC" w:rsidP="00D57DEC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Starptautiskās saistības (pēc </w:t>
            </w:r>
            <w:r w:rsidRPr="009E2709">
              <w:rPr>
                <w:lang w:val="lv-LV"/>
              </w:rPr>
              <w:lastRenderedPageBreak/>
              <w:t xml:space="preserve">būtības), kas izriet no norādītā starptautiskā dokumenta. </w:t>
            </w:r>
          </w:p>
          <w:p w:rsidR="00D57DEC" w:rsidRPr="009E2709" w:rsidRDefault="00D57DEC" w:rsidP="00D57DEC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Konkrēti veicamie pasākumi vai uzdevumi, kas nepieciešami šo starptautisko saistību izpildei</w:t>
            </w:r>
          </w:p>
        </w:tc>
        <w:tc>
          <w:tcPr>
            <w:tcW w:w="1742" w:type="pct"/>
            <w:gridSpan w:val="3"/>
          </w:tcPr>
          <w:p w:rsidR="00D57DEC" w:rsidRPr="009E2709" w:rsidRDefault="00D57DEC" w:rsidP="00D57DEC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 xml:space="preserve">Ja pasākumi vai uzdevumi, ar ko </w:t>
            </w:r>
            <w:r w:rsidRPr="009E2709">
              <w:rPr>
                <w:lang w:val="lv-LV"/>
              </w:rPr>
              <w:lastRenderedPageBreak/>
              <w:t>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742" w:type="pct"/>
            <w:gridSpan w:val="3"/>
          </w:tcPr>
          <w:p w:rsidR="00D57DEC" w:rsidRPr="009E2709" w:rsidRDefault="00D57DEC" w:rsidP="00D57DEC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 xml:space="preserve">Informācija par to, vai </w:t>
            </w:r>
            <w:r w:rsidRPr="009E2709">
              <w:rPr>
                <w:lang w:val="lv-LV"/>
              </w:rPr>
              <w:lastRenderedPageBreak/>
              <w:t xml:space="preserve">starptautiskās saistības, kas minētas šīs tabulas A ailē, tiek izpildītas pilnībā vai daļēji. </w:t>
            </w:r>
          </w:p>
          <w:p w:rsidR="00D57DEC" w:rsidRPr="009E2709" w:rsidRDefault="00D57DEC" w:rsidP="00D57DEC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D57DEC" w:rsidRPr="009E2709" w:rsidRDefault="00D57DEC" w:rsidP="00D57DEC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Norāda institūciju, kas ir atbildīga par šo saistību izpildi pilnībā</w:t>
            </w:r>
          </w:p>
        </w:tc>
      </w:tr>
      <w:tr w:rsidR="00D57DEC" w:rsidRPr="00A919CE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742" w:type="pct"/>
            <w:gridSpan w:val="3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</w:pPr>
          </w:p>
        </w:tc>
        <w:tc>
          <w:tcPr>
            <w:tcW w:w="1742" w:type="pct"/>
            <w:gridSpan w:val="3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</w:pPr>
          </w:p>
        </w:tc>
      </w:tr>
      <w:tr w:rsidR="00D57DEC" w:rsidRPr="00CD1DE7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both"/>
            </w:pPr>
            <w:r w:rsidRPr="009E2709">
              <w:t>Vai starptautiskajā dokumentā paredzētās saistības nav pretrunā ar jau esošajām Latvijas Republikas starptautiskajām saistībām</w:t>
            </w:r>
          </w:p>
        </w:tc>
        <w:tc>
          <w:tcPr>
            <w:tcW w:w="3484" w:type="pct"/>
            <w:gridSpan w:val="6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</w:pPr>
            <w:r w:rsidRPr="00957F30">
              <w:t>Noteikumu projekts šo jomu neskar.</w:t>
            </w:r>
          </w:p>
        </w:tc>
      </w:tr>
      <w:tr w:rsidR="00D57DEC" w:rsidRPr="009E2709" w:rsidTr="00D57D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:rsidR="00D57DEC" w:rsidRPr="009E2709" w:rsidRDefault="00D57DEC" w:rsidP="00D57DEC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:rsidR="009E04D3" w:rsidRDefault="009E04D3" w:rsidP="005D73DE">
      <w:pPr>
        <w:rPr>
          <w:u w:val="single"/>
          <w:lang w:val="lv-LV" w:eastAsia="lv-LV"/>
        </w:rPr>
      </w:pPr>
    </w:p>
    <w:p w:rsidR="00005589" w:rsidRPr="00005589" w:rsidRDefault="00005589" w:rsidP="00005589">
      <w:pPr>
        <w:jc w:val="both"/>
        <w:rPr>
          <w:i/>
          <w:lang w:val="lv-LV" w:eastAsia="lv-LV"/>
        </w:rPr>
      </w:pPr>
      <w:r>
        <w:rPr>
          <w:i/>
          <w:lang w:val="lv-LV" w:eastAsia="lv-LV"/>
        </w:rPr>
        <w:t xml:space="preserve">Anotācijas VI </w:t>
      </w:r>
      <w:r w:rsidRPr="00E312B1">
        <w:rPr>
          <w:i/>
          <w:lang w:val="lv-LV" w:eastAsia="lv-LV"/>
        </w:rPr>
        <w:t>sadaļa – projekts šo jomu neskar.</w:t>
      </w:r>
    </w:p>
    <w:p w:rsidR="00D57DEC" w:rsidRPr="009E2709" w:rsidRDefault="00D57DEC" w:rsidP="005D73DE">
      <w:pPr>
        <w:rPr>
          <w:u w:val="single"/>
          <w:lang w:val="lv-LV" w:eastAsia="lv-LV"/>
        </w:rPr>
      </w:pPr>
    </w:p>
    <w:tbl>
      <w:tblPr>
        <w:tblW w:w="0" w:type="auto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6910"/>
        <w:gridCol w:w="2519"/>
      </w:tblGrid>
      <w:tr w:rsidR="005D73DE" w:rsidRPr="00A919CE" w:rsidTr="00957F30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E41118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1532AD" w:rsidP="005D73DE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CD1DE7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9E2709" w:rsidRDefault="00603F7B" w:rsidP="00603F7B">
            <w:pPr>
              <w:pStyle w:val="naiskr"/>
              <w:spacing w:before="0" w:beforeAutospacing="0" w:after="0" w:afterAutospacing="0"/>
              <w:jc w:val="both"/>
            </w:pPr>
            <w:r>
              <w:t>Noteikumu p</w:t>
            </w:r>
            <w:r w:rsidR="001532AD">
              <w:t>rojekts šo jomu neskar.</w:t>
            </w:r>
          </w:p>
        </w:tc>
      </w:tr>
      <w:tr w:rsidR="005D73DE" w:rsidRPr="009E2709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1532AD" w:rsidP="005D73DE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E2709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CD1DE7" w:rsidRPr="009E2709" w:rsidRDefault="00CD1DE7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70A7B" w:rsidRDefault="00096D79" w:rsidP="0081663C">
      <w:pPr>
        <w:pStyle w:val="Heading1"/>
        <w:keepNext w:val="0"/>
        <w:widowControl w:val="0"/>
        <w:jc w:val="left"/>
        <w:rPr>
          <w:b w:val="0"/>
          <w:sz w:val="24"/>
          <w:szCs w:val="28"/>
        </w:rPr>
      </w:pPr>
      <w:r w:rsidRPr="00E41118">
        <w:rPr>
          <w:b w:val="0"/>
          <w:sz w:val="24"/>
          <w:szCs w:val="28"/>
        </w:rPr>
        <w:t xml:space="preserve">Zemkopības </w:t>
      </w:r>
      <w:r w:rsidR="001532AD" w:rsidRPr="00E41118">
        <w:rPr>
          <w:b w:val="0"/>
          <w:sz w:val="24"/>
          <w:szCs w:val="28"/>
        </w:rPr>
        <w:t>ministr</w:t>
      </w:r>
      <w:r w:rsidR="00170A7B">
        <w:rPr>
          <w:b w:val="0"/>
          <w:sz w:val="24"/>
          <w:szCs w:val="28"/>
        </w:rPr>
        <w:t>a p.i.-</w:t>
      </w:r>
    </w:p>
    <w:p w:rsidR="00105AE2" w:rsidRPr="00E41118" w:rsidRDefault="00170A7B" w:rsidP="0081663C">
      <w:pPr>
        <w:pStyle w:val="Heading1"/>
        <w:keepNext w:val="0"/>
        <w:widowControl w:val="0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Veselības ministrs</w:t>
      </w:r>
      <w:r w:rsidR="00A22819" w:rsidRPr="00E41118">
        <w:rPr>
          <w:b w:val="0"/>
          <w:sz w:val="24"/>
          <w:szCs w:val="28"/>
        </w:rPr>
        <w:tab/>
      </w:r>
      <w:r w:rsidR="0081663C">
        <w:rPr>
          <w:b w:val="0"/>
          <w:sz w:val="24"/>
          <w:szCs w:val="28"/>
        </w:rPr>
        <w:tab/>
      </w:r>
      <w:r w:rsidR="0081663C">
        <w:rPr>
          <w:b w:val="0"/>
          <w:sz w:val="24"/>
          <w:szCs w:val="28"/>
        </w:rPr>
        <w:tab/>
      </w:r>
      <w:r w:rsidR="0081663C">
        <w:rPr>
          <w:b w:val="0"/>
          <w:sz w:val="24"/>
          <w:szCs w:val="28"/>
        </w:rPr>
        <w:tab/>
      </w:r>
      <w:r w:rsidR="00A22819" w:rsidRPr="00E41118">
        <w:rPr>
          <w:b w:val="0"/>
          <w:sz w:val="24"/>
          <w:szCs w:val="28"/>
        </w:rPr>
        <w:tab/>
      </w:r>
      <w:r w:rsidR="00A22819" w:rsidRPr="00E41118">
        <w:rPr>
          <w:b w:val="0"/>
          <w:sz w:val="24"/>
          <w:szCs w:val="28"/>
        </w:rPr>
        <w:tab/>
      </w:r>
      <w:r w:rsidR="00A22819" w:rsidRPr="00E41118"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 w:rsidR="00105AE2" w:rsidRPr="00E41118"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>G.Belēvičs</w:t>
      </w:r>
    </w:p>
    <w:p w:rsidR="004D267D" w:rsidRDefault="004D267D" w:rsidP="005D73DE">
      <w:pPr>
        <w:jc w:val="both"/>
        <w:rPr>
          <w:lang w:val="lv-LV"/>
        </w:rPr>
      </w:pPr>
    </w:p>
    <w:p w:rsidR="00E41118" w:rsidRDefault="00E41118" w:rsidP="005D73DE">
      <w:pPr>
        <w:jc w:val="both"/>
        <w:rPr>
          <w:lang w:val="lv-LV"/>
        </w:rPr>
      </w:pPr>
    </w:p>
    <w:p w:rsidR="00E41118" w:rsidRDefault="00E41118" w:rsidP="005D73DE">
      <w:pPr>
        <w:jc w:val="both"/>
        <w:rPr>
          <w:lang w:val="lv-LV"/>
        </w:rPr>
      </w:pPr>
    </w:p>
    <w:p w:rsidR="00170A7B" w:rsidRDefault="00170A7B" w:rsidP="005D73DE">
      <w:pPr>
        <w:jc w:val="both"/>
        <w:rPr>
          <w:lang w:val="lv-LV"/>
        </w:rPr>
      </w:pPr>
    </w:p>
    <w:p w:rsidR="00170A7B" w:rsidRDefault="00170A7B" w:rsidP="005D73DE">
      <w:pPr>
        <w:jc w:val="both"/>
        <w:rPr>
          <w:lang w:val="lv-LV"/>
        </w:rPr>
      </w:pPr>
    </w:p>
    <w:p w:rsidR="00170A7B" w:rsidRDefault="00170A7B" w:rsidP="005D73DE">
      <w:pPr>
        <w:jc w:val="both"/>
        <w:rPr>
          <w:lang w:val="lv-LV"/>
        </w:rPr>
      </w:pPr>
    </w:p>
    <w:p w:rsidR="00170A7B" w:rsidRDefault="00170A7B" w:rsidP="005D73DE">
      <w:pPr>
        <w:jc w:val="both"/>
        <w:rPr>
          <w:lang w:val="lv-LV"/>
        </w:rPr>
      </w:pPr>
    </w:p>
    <w:p w:rsidR="00A919CE" w:rsidRDefault="00A919CE" w:rsidP="00170A7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13.08.2015. 9:20</w:t>
      </w:r>
    </w:p>
    <w:p w:rsidR="00A919CE" w:rsidRDefault="00A919CE" w:rsidP="00170A7B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1397</w:t>
      </w:r>
      <w:r>
        <w:rPr>
          <w:sz w:val="20"/>
          <w:szCs w:val="20"/>
        </w:rPr>
        <w:fldChar w:fldCharType="end"/>
      </w:r>
    </w:p>
    <w:p w:rsidR="00170A7B" w:rsidRPr="00170A7B" w:rsidRDefault="00170A7B" w:rsidP="00170A7B">
      <w:pPr>
        <w:jc w:val="both"/>
        <w:rPr>
          <w:sz w:val="20"/>
          <w:szCs w:val="20"/>
          <w:lang w:val="lv-LV"/>
        </w:rPr>
      </w:pPr>
      <w:r w:rsidRPr="00170A7B">
        <w:rPr>
          <w:sz w:val="20"/>
          <w:szCs w:val="20"/>
          <w:lang w:val="lv-LV"/>
        </w:rPr>
        <w:t>S.Vanaga</w:t>
      </w:r>
    </w:p>
    <w:p w:rsidR="00170A7B" w:rsidRPr="00170A7B" w:rsidRDefault="00170A7B" w:rsidP="00170A7B">
      <w:pPr>
        <w:jc w:val="both"/>
        <w:rPr>
          <w:sz w:val="20"/>
          <w:szCs w:val="20"/>
          <w:lang w:val="lv-LV"/>
        </w:rPr>
      </w:pPr>
      <w:r w:rsidRPr="00170A7B">
        <w:rPr>
          <w:sz w:val="20"/>
          <w:szCs w:val="20"/>
          <w:lang w:val="lv-LV"/>
        </w:rPr>
        <w:t>67027363, Sanita.Vanaga@zm.gov.lv</w:t>
      </w:r>
    </w:p>
    <w:p w:rsidR="00792971" w:rsidRDefault="00792971" w:rsidP="005D73DE">
      <w:pPr>
        <w:jc w:val="both"/>
        <w:rPr>
          <w:lang w:val="lv-LV"/>
        </w:rPr>
      </w:pPr>
    </w:p>
    <w:p w:rsidR="00792971" w:rsidRDefault="00792971" w:rsidP="005D73DE">
      <w:pPr>
        <w:jc w:val="both"/>
        <w:rPr>
          <w:lang w:val="lv-LV"/>
        </w:rPr>
      </w:pPr>
    </w:p>
    <w:p w:rsidR="00792971" w:rsidRDefault="00792971" w:rsidP="005D73DE">
      <w:pPr>
        <w:jc w:val="both"/>
        <w:rPr>
          <w:lang w:val="lv-LV"/>
        </w:rPr>
      </w:pPr>
    </w:p>
    <w:p w:rsidR="00C20792" w:rsidRPr="009E2709" w:rsidRDefault="00C20792" w:rsidP="001532AD">
      <w:pPr>
        <w:jc w:val="both"/>
        <w:rPr>
          <w:lang w:val="lv-LV"/>
        </w:rPr>
      </w:pPr>
    </w:p>
    <w:sectPr w:rsidR="00C20792" w:rsidRPr="009E2709" w:rsidSect="00170A7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95" w:rsidRDefault="00E32D95">
      <w:r>
        <w:separator/>
      </w:r>
    </w:p>
  </w:endnote>
  <w:endnote w:type="continuationSeparator" w:id="0">
    <w:p w:rsidR="00E32D95" w:rsidRDefault="00E3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2A" w:rsidRPr="001532AD" w:rsidRDefault="00F07D2A" w:rsidP="001532AD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170A7B">
      <w:rPr>
        <w:sz w:val="20"/>
        <w:szCs w:val="20"/>
        <w:lang w:val="lv-LV"/>
      </w:rPr>
      <w:t>A</w:t>
    </w:r>
    <w:r>
      <w:rPr>
        <w:sz w:val="20"/>
        <w:szCs w:val="20"/>
        <w:lang w:val="lv-LV"/>
      </w:rPr>
      <w:t>not_</w:t>
    </w:r>
    <w:r w:rsidR="008E0C09">
      <w:rPr>
        <w:sz w:val="20"/>
        <w:szCs w:val="20"/>
        <w:lang w:val="lv-LV"/>
      </w:rPr>
      <w:t>0308</w:t>
    </w:r>
    <w:r w:rsidRPr="00A17DD9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5_afrikasmeris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532AD">
      <w:rPr>
        <w:bCs/>
        <w:sz w:val="20"/>
        <w:szCs w:val="20"/>
        <w:lang w:val="lv-LV"/>
      </w:rPr>
      <w:t>„Grozījumi Ministru kabineta 2004.gada 17.februāra noteikumos Nr.83</w:t>
    </w:r>
    <w:r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„Āfrikas cūku mēra likvidēšanas un draudu novēršanas kārtība””</w:t>
    </w:r>
    <w:r>
      <w:rPr>
        <w:b/>
        <w:bCs/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2A" w:rsidRPr="001532AD" w:rsidRDefault="00F07D2A" w:rsidP="001532AD">
    <w:pPr>
      <w:pStyle w:val="Footer"/>
      <w:rPr>
        <w:rFonts w:ascii="Times New Roman" w:hAnsi="Times New Roman"/>
        <w:bCs/>
        <w:sz w:val="20"/>
      </w:rPr>
    </w:pPr>
    <w:r w:rsidRPr="001532AD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M</w:t>
    </w:r>
    <w:r w:rsidR="00170A7B">
      <w:rPr>
        <w:rFonts w:ascii="Times New Roman" w:hAnsi="Times New Roman"/>
        <w:sz w:val="20"/>
      </w:rPr>
      <w:t>A</w:t>
    </w:r>
    <w:r>
      <w:rPr>
        <w:rFonts w:ascii="Times New Roman" w:hAnsi="Times New Roman"/>
        <w:sz w:val="20"/>
      </w:rPr>
      <w:t>not_</w:t>
    </w:r>
    <w:r w:rsidR="008E0C09">
      <w:rPr>
        <w:rFonts w:ascii="Times New Roman" w:hAnsi="Times New Roman"/>
        <w:sz w:val="20"/>
      </w:rPr>
      <w:t>0308</w:t>
    </w:r>
    <w:r>
      <w:rPr>
        <w:rFonts w:ascii="Times New Roman" w:hAnsi="Times New Roman"/>
        <w:sz w:val="20"/>
      </w:rPr>
      <w:t>15</w:t>
    </w:r>
    <w:r w:rsidRPr="001532AD">
      <w:rPr>
        <w:rFonts w:ascii="Times New Roman" w:hAnsi="Times New Roman"/>
        <w:sz w:val="20"/>
      </w:rPr>
      <w:t xml:space="preserve">_afrikasmeris; Ministru kabineta noteikumu projekta </w:t>
    </w:r>
    <w:r w:rsidRPr="001532AD">
      <w:rPr>
        <w:rFonts w:ascii="Times New Roman" w:hAnsi="Times New Roman"/>
        <w:bCs/>
        <w:sz w:val="20"/>
      </w:rPr>
      <w:t>„Grozījumi Ministru kabineta 2004.gada 17.februāra noteikumos Nr.83 „Āfrikas cūku mēra likvidēšanas un draudu novēršanas kārtība””</w:t>
    </w:r>
    <w:r w:rsidRPr="001532AD">
      <w:rPr>
        <w:rFonts w:ascii="Times New Roman" w:hAnsi="Times New Roman"/>
        <w:b/>
        <w:bCs/>
        <w:sz w:val="20"/>
      </w:rPr>
      <w:t xml:space="preserve"> </w:t>
    </w:r>
    <w:r w:rsidRPr="001532AD">
      <w:rPr>
        <w:rFonts w:ascii="Times New Roman" w:hAnsi="Times New Roman"/>
        <w:sz w:val="20"/>
      </w:rPr>
      <w:t>sākotnējās ietekmes novērtējuma ziņojums</w:t>
    </w:r>
    <w:r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95" w:rsidRDefault="00E32D95">
      <w:r>
        <w:separator/>
      </w:r>
    </w:p>
  </w:footnote>
  <w:footnote w:type="continuationSeparator" w:id="0">
    <w:p w:rsidR="00E32D95" w:rsidRDefault="00E3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2A" w:rsidRDefault="00251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7D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D2A" w:rsidRDefault="00F07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2A" w:rsidRDefault="00251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7D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C76">
      <w:rPr>
        <w:rStyle w:val="PageNumber"/>
        <w:noProof/>
      </w:rPr>
      <w:t>5</w:t>
    </w:r>
    <w:r>
      <w:rPr>
        <w:rStyle w:val="PageNumber"/>
      </w:rPr>
      <w:fldChar w:fldCharType="end"/>
    </w:r>
  </w:p>
  <w:p w:rsidR="00F07D2A" w:rsidRDefault="00F07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F8D"/>
    <w:rsid w:val="00001CFA"/>
    <w:rsid w:val="000030F6"/>
    <w:rsid w:val="00003470"/>
    <w:rsid w:val="00003E75"/>
    <w:rsid w:val="00004B99"/>
    <w:rsid w:val="00004DF0"/>
    <w:rsid w:val="00005589"/>
    <w:rsid w:val="00011500"/>
    <w:rsid w:val="0001274B"/>
    <w:rsid w:val="00012769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3EE5"/>
    <w:rsid w:val="000463AC"/>
    <w:rsid w:val="00046472"/>
    <w:rsid w:val="00054536"/>
    <w:rsid w:val="00056991"/>
    <w:rsid w:val="00057FBC"/>
    <w:rsid w:val="0006719B"/>
    <w:rsid w:val="0007255F"/>
    <w:rsid w:val="00072622"/>
    <w:rsid w:val="00074423"/>
    <w:rsid w:val="000744AE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04B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E4A"/>
    <w:rsid w:val="0011310D"/>
    <w:rsid w:val="00115A8F"/>
    <w:rsid w:val="0011601E"/>
    <w:rsid w:val="00116784"/>
    <w:rsid w:val="001177FE"/>
    <w:rsid w:val="001178E3"/>
    <w:rsid w:val="00122B9A"/>
    <w:rsid w:val="001304F1"/>
    <w:rsid w:val="001306C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47201"/>
    <w:rsid w:val="00150011"/>
    <w:rsid w:val="0015254E"/>
    <w:rsid w:val="001532AD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0801"/>
    <w:rsid w:val="00170A7B"/>
    <w:rsid w:val="00171315"/>
    <w:rsid w:val="00171BA0"/>
    <w:rsid w:val="001739AD"/>
    <w:rsid w:val="001751F5"/>
    <w:rsid w:val="00176E50"/>
    <w:rsid w:val="00182C1E"/>
    <w:rsid w:val="00191538"/>
    <w:rsid w:val="001919A5"/>
    <w:rsid w:val="001927BC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D7D52"/>
    <w:rsid w:val="001E14E1"/>
    <w:rsid w:val="001E264B"/>
    <w:rsid w:val="001E40A1"/>
    <w:rsid w:val="001E7670"/>
    <w:rsid w:val="001F0E54"/>
    <w:rsid w:val="001F1642"/>
    <w:rsid w:val="001F373B"/>
    <w:rsid w:val="001F448F"/>
    <w:rsid w:val="001F5256"/>
    <w:rsid w:val="001F5C16"/>
    <w:rsid w:val="00200B32"/>
    <w:rsid w:val="002027AF"/>
    <w:rsid w:val="00203134"/>
    <w:rsid w:val="002043DB"/>
    <w:rsid w:val="00205C1E"/>
    <w:rsid w:val="0020639A"/>
    <w:rsid w:val="00210E44"/>
    <w:rsid w:val="00212025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12B0"/>
    <w:rsid w:val="00251855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3A1"/>
    <w:rsid w:val="00282F68"/>
    <w:rsid w:val="00283977"/>
    <w:rsid w:val="002849D1"/>
    <w:rsid w:val="00286469"/>
    <w:rsid w:val="0029114F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D70"/>
    <w:rsid w:val="002B4F76"/>
    <w:rsid w:val="002B7CF9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3410"/>
    <w:rsid w:val="0032382E"/>
    <w:rsid w:val="00326D8C"/>
    <w:rsid w:val="003309B4"/>
    <w:rsid w:val="0033350D"/>
    <w:rsid w:val="00333737"/>
    <w:rsid w:val="003352D4"/>
    <w:rsid w:val="003353AA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50BF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C21"/>
    <w:rsid w:val="00394F91"/>
    <w:rsid w:val="00396612"/>
    <w:rsid w:val="00396735"/>
    <w:rsid w:val="003A08D6"/>
    <w:rsid w:val="003A1D28"/>
    <w:rsid w:val="003A4522"/>
    <w:rsid w:val="003A4C44"/>
    <w:rsid w:val="003A58B9"/>
    <w:rsid w:val="003A5A85"/>
    <w:rsid w:val="003A68EB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62B2"/>
    <w:rsid w:val="003D676D"/>
    <w:rsid w:val="003E1930"/>
    <w:rsid w:val="003E194A"/>
    <w:rsid w:val="003E1A05"/>
    <w:rsid w:val="003E36E3"/>
    <w:rsid w:val="003E42F6"/>
    <w:rsid w:val="003E745F"/>
    <w:rsid w:val="003F02D7"/>
    <w:rsid w:val="003F1B23"/>
    <w:rsid w:val="003F21DA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107"/>
    <w:rsid w:val="00421F53"/>
    <w:rsid w:val="00422143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091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D0202"/>
    <w:rsid w:val="004D120C"/>
    <w:rsid w:val="004D267D"/>
    <w:rsid w:val="004D283F"/>
    <w:rsid w:val="004D29AD"/>
    <w:rsid w:val="004D2FD5"/>
    <w:rsid w:val="004D414B"/>
    <w:rsid w:val="004E0F9E"/>
    <w:rsid w:val="004E202E"/>
    <w:rsid w:val="004E4242"/>
    <w:rsid w:val="004E78C9"/>
    <w:rsid w:val="004F012D"/>
    <w:rsid w:val="004F158A"/>
    <w:rsid w:val="004F1BDB"/>
    <w:rsid w:val="004F2EFC"/>
    <w:rsid w:val="004F407F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174AF"/>
    <w:rsid w:val="005206CF"/>
    <w:rsid w:val="00521C50"/>
    <w:rsid w:val="0052640F"/>
    <w:rsid w:val="00526F5F"/>
    <w:rsid w:val="00532F5F"/>
    <w:rsid w:val="0053351C"/>
    <w:rsid w:val="0053460D"/>
    <w:rsid w:val="0053651B"/>
    <w:rsid w:val="00537316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7B70"/>
    <w:rsid w:val="00570BD3"/>
    <w:rsid w:val="00571E48"/>
    <w:rsid w:val="00572BC9"/>
    <w:rsid w:val="0057449E"/>
    <w:rsid w:val="00575B15"/>
    <w:rsid w:val="00581A16"/>
    <w:rsid w:val="005820CE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1986"/>
    <w:rsid w:val="005F548A"/>
    <w:rsid w:val="005F571F"/>
    <w:rsid w:val="00602628"/>
    <w:rsid w:val="00603F7B"/>
    <w:rsid w:val="00604DA3"/>
    <w:rsid w:val="00613168"/>
    <w:rsid w:val="00616CD8"/>
    <w:rsid w:val="00616FA0"/>
    <w:rsid w:val="00620830"/>
    <w:rsid w:val="006208EC"/>
    <w:rsid w:val="00620FF4"/>
    <w:rsid w:val="0062238B"/>
    <w:rsid w:val="00624CFE"/>
    <w:rsid w:val="00624E81"/>
    <w:rsid w:val="006310BB"/>
    <w:rsid w:val="0063128E"/>
    <w:rsid w:val="00631891"/>
    <w:rsid w:val="00633C24"/>
    <w:rsid w:val="00634084"/>
    <w:rsid w:val="006342C4"/>
    <w:rsid w:val="006345D8"/>
    <w:rsid w:val="00634701"/>
    <w:rsid w:val="00637747"/>
    <w:rsid w:val="0063784C"/>
    <w:rsid w:val="00637DC1"/>
    <w:rsid w:val="006409CE"/>
    <w:rsid w:val="0064573A"/>
    <w:rsid w:val="00645761"/>
    <w:rsid w:val="00651925"/>
    <w:rsid w:val="00653C1C"/>
    <w:rsid w:val="00655ACE"/>
    <w:rsid w:val="00655EBB"/>
    <w:rsid w:val="00656C23"/>
    <w:rsid w:val="00657962"/>
    <w:rsid w:val="00660CB0"/>
    <w:rsid w:val="0066452D"/>
    <w:rsid w:val="006662B5"/>
    <w:rsid w:val="0067321A"/>
    <w:rsid w:val="00673642"/>
    <w:rsid w:val="00674D5D"/>
    <w:rsid w:val="00675331"/>
    <w:rsid w:val="006759CB"/>
    <w:rsid w:val="00677712"/>
    <w:rsid w:val="00680B20"/>
    <w:rsid w:val="00680E5A"/>
    <w:rsid w:val="0068171E"/>
    <w:rsid w:val="00681AA8"/>
    <w:rsid w:val="00683A17"/>
    <w:rsid w:val="00683E47"/>
    <w:rsid w:val="00684DF8"/>
    <w:rsid w:val="0069043D"/>
    <w:rsid w:val="00691CB0"/>
    <w:rsid w:val="0069612C"/>
    <w:rsid w:val="00696562"/>
    <w:rsid w:val="00696AFD"/>
    <w:rsid w:val="006A073E"/>
    <w:rsid w:val="006A1F3F"/>
    <w:rsid w:val="006A3CD4"/>
    <w:rsid w:val="006A406C"/>
    <w:rsid w:val="006A5F43"/>
    <w:rsid w:val="006A699B"/>
    <w:rsid w:val="006A6C10"/>
    <w:rsid w:val="006A729F"/>
    <w:rsid w:val="006B07C9"/>
    <w:rsid w:val="006B08AF"/>
    <w:rsid w:val="006B0A0D"/>
    <w:rsid w:val="006B0AC4"/>
    <w:rsid w:val="006B0D5C"/>
    <w:rsid w:val="006B1642"/>
    <w:rsid w:val="006B3F60"/>
    <w:rsid w:val="006B4629"/>
    <w:rsid w:val="006B574E"/>
    <w:rsid w:val="006B581B"/>
    <w:rsid w:val="006B6730"/>
    <w:rsid w:val="006B7B67"/>
    <w:rsid w:val="006B7EA9"/>
    <w:rsid w:val="006C0110"/>
    <w:rsid w:val="006C0A3A"/>
    <w:rsid w:val="006C172A"/>
    <w:rsid w:val="006C21FF"/>
    <w:rsid w:val="006C34C4"/>
    <w:rsid w:val="006C6551"/>
    <w:rsid w:val="006C6A03"/>
    <w:rsid w:val="006D02E2"/>
    <w:rsid w:val="006D1AD8"/>
    <w:rsid w:val="006D42DC"/>
    <w:rsid w:val="006D4AD9"/>
    <w:rsid w:val="006D5174"/>
    <w:rsid w:val="006E0585"/>
    <w:rsid w:val="006E3915"/>
    <w:rsid w:val="006E4A20"/>
    <w:rsid w:val="006E5E3E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56AD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80D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92971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C1935"/>
    <w:rsid w:val="007C3E31"/>
    <w:rsid w:val="007C4B74"/>
    <w:rsid w:val="007C77C6"/>
    <w:rsid w:val="007D0664"/>
    <w:rsid w:val="007D3B4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40ED"/>
    <w:rsid w:val="007F7D05"/>
    <w:rsid w:val="00801836"/>
    <w:rsid w:val="00801D1A"/>
    <w:rsid w:val="00805453"/>
    <w:rsid w:val="00805C76"/>
    <w:rsid w:val="00807460"/>
    <w:rsid w:val="00810D6E"/>
    <w:rsid w:val="00810FD8"/>
    <w:rsid w:val="00811084"/>
    <w:rsid w:val="0081203D"/>
    <w:rsid w:val="00812BEB"/>
    <w:rsid w:val="00813764"/>
    <w:rsid w:val="00813C57"/>
    <w:rsid w:val="00814C6A"/>
    <w:rsid w:val="0081663C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33A9"/>
    <w:rsid w:val="008A4B6E"/>
    <w:rsid w:val="008A54A5"/>
    <w:rsid w:val="008B0F1E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09"/>
    <w:rsid w:val="008E0C51"/>
    <w:rsid w:val="008E1329"/>
    <w:rsid w:val="008E1A5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36E0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2973"/>
    <w:rsid w:val="0098399E"/>
    <w:rsid w:val="00985B95"/>
    <w:rsid w:val="0099066A"/>
    <w:rsid w:val="0099390A"/>
    <w:rsid w:val="00996A3D"/>
    <w:rsid w:val="009A24CA"/>
    <w:rsid w:val="009A49E1"/>
    <w:rsid w:val="009A678E"/>
    <w:rsid w:val="009A7AFC"/>
    <w:rsid w:val="009B3028"/>
    <w:rsid w:val="009B3D43"/>
    <w:rsid w:val="009B4F7D"/>
    <w:rsid w:val="009B7FF9"/>
    <w:rsid w:val="009C2A21"/>
    <w:rsid w:val="009C3E14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709"/>
    <w:rsid w:val="009E4C1C"/>
    <w:rsid w:val="009E76E9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16A3"/>
    <w:rsid w:val="00A3317E"/>
    <w:rsid w:val="00A37939"/>
    <w:rsid w:val="00A40717"/>
    <w:rsid w:val="00A43D8A"/>
    <w:rsid w:val="00A44457"/>
    <w:rsid w:val="00A44EA9"/>
    <w:rsid w:val="00A604F2"/>
    <w:rsid w:val="00A618F6"/>
    <w:rsid w:val="00A62F5B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694"/>
    <w:rsid w:val="00A84A94"/>
    <w:rsid w:val="00A856EA"/>
    <w:rsid w:val="00A867C0"/>
    <w:rsid w:val="00A90B4D"/>
    <w:rsid w:val="00A919CE"/>
    <w:rsid w:val="00A91A3A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50DE"/>
    <w:rsid w:val="00AA5FBC"/>
    <w:rsid w:val="00AB5A60"/>
    <w:rsid w:val="00AC0691"/>
    <w:rsid w:val="00AC18A0"/>
    <w:rsid w:val="00AC2439"/>
    <w:rsid w:val="00AC7264"/>
    <w:rsid w:val="00AD3AF0"/>
    <w:rsid w:val="00AD3FDA"/>
    <w:rsid w:val="00AD5F3C"/>
    <w:rsid w:val="00AE02A3"/>
    <w:rsid w:val="00AE3ECB"/>
    <w:rsid w:val="00AE500B"/>
    <w:rsid w:val="00AF1735"/>
    <w:rsid w:val="00AF630E"/>
    <w:rsid w:val="00AF66A5"/>
    <w:rsid w:val="00AF7992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26E52"/>
    <w:rsid w:val="00B3133E"/>
    <w:rsid w:val="00B33D9B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EA8"/>
    <w:rsid w:val="00B6023B"/>
    <w:rsid w:val="00B61C51"/>
    <w:rsid w:val="00B63B5F"/>
    <w:rsid w:val="00B64EEF"/>
    <w:rsid w:val="00B65FEE"/>
    <w:rsid w:val="00B66D04"/>
    <w:rsid w:val="00B67002"/>
    <w:rsid w:val="00B71D8C"/>
    <w:rsid w:val="00B736F5"/>
    <w:rsid w:val="00B75F5C"/>
    <w:rsid w:val="00B77BE8"/>
    <w:rsid w:val="00B829FB"/>
    <w:rsid w:val="00B82F71"/>
    <w:rsid w:val="00B83230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513C"/>
    <w:rsid w:val="00BA6631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44C9"/>
    <w:rsid w:val="00BD452D"/>
    <w:rsid w:val="00BD5018"/>
    <w:rsid w:val="00BD6039"/>
    <w:rsid w:val="00BD6E6E"/>
    <w:rsid w:val="00BD7395"/>
    <w:rsid w:val="00BD7692"/>
    <w:rsid w:val="00BE26B5"/>
    <w:rsid w:val="00BE2EDE"/>
    <w:rsid w:val="00BE3ED7"/>
    <w:rsid w:val="00BE4408"/>
    <w:rsid w:val="00BE594B"/>
    <w:rsid w:val="00BE7DED"/>
    <w:rsid w:val="00BE7E71"/>
    <w:rsid w:val="00BF0AB8"/>
    <w:rsid w:val="00BF407A"/>
    <w:rsid w:val="00BF49C9"/>
    <w:rsid w:val="00BF50BA"/>
    <w:rsid w:val="00C018B4"/>
    <w:rsid w:val="00C01D97"/>
    <w:rsid w:val="00C0292C"/>
    <w:rsid w:val="00C03D98"/>
    <w:rsid w:val="00C05396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6CD0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867"/>
    <w:rsid w:val="00CC5A4B"/>
    <w:rsid w:val="00CC6D1C"/>
    <w:rsid w:val="00CC709B"/>
    <w:rsid w:val="00CD02E8"/>
    <w:rsid w:val="00CD1DE7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325"/>
    <w:rsid w:val="00D31E5B"/>
    <w:rsid w:val="00D34862"/>
    <w:rsid w:val="00D37002"/>
    <w:rsid w:val="00D45515"/>
    <w:rsid w:val="00D50196"/>
    <w:rsid w:val="00D509B4"/>
    <w:rsid w:val="00D52BBF"/>
    <w:rsid w:val="00D533EA"/>
    <w:rsid w:val="00D54624"/>
    <w:rsid w:val="00D54AA4"/>
    <w:rsid w:val="00D57613"/>
    <w:rsid w:val="00D57DEC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3C6D"/>
    <w:rsid w:val="00DD4605"/>
    <w:rsid w:val="00DD4BEF"/>
    <w:rsid w:val="00DD4DBC"/>
    <w:rsid w:val="00DD60C1"/>
    <w:rsid w:val="00DE0C6C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F9B"/>
    <w:rsid w:val="00E14CDF"/>
    <w:rsid w:val="00E2125C"/>
    <w:rsid w:val="00E212B0"/>
    <w:rsid w:val="00E2273F"/>
    <w:rsid w:val="00E22EFF"/>
    <w:rsid w:val="00E312B1"/>
    <w:rsid w:val="00E32D95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1118"/>
    <w:rsid w:val="00E46A87"/>
    <w:rsid w:val="00E4715A"/>
    <w:rsid w:val="00E473FE"/>
    <w:rsid w:val="00E56B01"/>
    <w:rsid w:val="00E57F7B"/>
    <w:rsid w:val="00E61540"/>
    <w:rsid w:val="00E61761"/>
    <w:rsid w:val="00E61AD5"/>
    <w:rsid w:val="00E63114"/>
    <w:rsid w:val="00E664C7"/>
    <w:rsid w:val="00E666F4"/>
    <w:rsid w:val="00E677AB"/>
    <w:rsid w:val="00E73750"/>
    <w:rsid w:val="00E77B06"/>
    <w:rsid w:val="00E800E6"/>
    <w:rsid w:val="00E81221"/>
    <w:rsid w:val="00E82751"/>
    <w:rsid w:val="00E850A5"/>
    <w:rsid w:val="00E85136"/>
    <w:rsid w:val="00E8584F"/>
    <w:rsid w:val="00E900CF"/>
    <w:rsid w:val="00E90845"/>
    <w:rsid w:val="00E94440"/>
    <w:rsid w:val="00E94E94"/>
    <w:rsid w:val="00E952E0"/>
    <w:rsid w:val="00E96623"/>
    <w:rsid w:val="00E96929"/>
    <w:rsid w:val="00E975A7"/>
    <w:rsid w:val="00EA1438"/>
    <w:rsid w:val="00EA2490"/>
    <w:rsid w:val="00EA2C74"/>
    <w:rsid w:val="00EA3684"/>
    <w:rsid w:val="00EA4AD5"/>
    <w:rsid w:val="00EB078B"/>
    <w:rsid w:val="00EB346F"/>
    <w:rsid w:val="00EB35CE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5EE5"/>
    <w:rsid w:val="00EC60D4"/>
    <w:rsid w:val="00EC74AC"/>
    <w:rsid w:val="00ED7B2F"/>
    <w:rsid w:val="00EE0CD7"/>
    <w:rsid w:val="00EE0E6E"/>
    <w:rsid w:val="00EE34B2"/>
    <w:rsid w:val="00EE5A45"/>
    <w:rsid w:val="00EE5B1D"/>
    <w:rsid w:val="00EE6AA3"/>
    <w:rsid w:val="00EF22FA"/>
    <w:rsid w:val="00EF3C41"/>
    <w:rsid w:val="00EF74B6"/>
    <w:rsid w:val="00EF7A30"/>
    <w:rsid w:val="00F01AFC"/>
    <w:rsid w:val="00F040F5"/>
    <w:rsid w:val="00F0454C"/>
    <w:rsid w:val="00F07D2A"/>
    <w:rsid w:val="00F10386"/>
    <w:rsid w:val="00F10CA9"/>
    <w:rsid w:val="00F13546"/>
    <w:rsid w:val="00F15953"/>
    <w:rsid w:val="00F15B4A"/>
    <w:rsid w:val="00F17899"/>
    <w:rsid w:val="00F20442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140"/>
    <w:rsid w:val="00F72274"/>
    <w:rsid w:val="00F758A4"/>
    <w:rsid w:val="00F776DA"/>
    <w:rsid w:val="00F80D92"/>
    <w:rsid w:val="00F83BA3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4461"/>
    <w:rsid w:val="00FE4D8A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2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rsid w:val="002C2235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Normal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NormalWeb">
    <w:name w:val="Normal (Web)"/>
    <w:basedOn w:val="Normal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Footer">
    <w:name w:val="footer"/>
    <w:basedOn w:val="Normal"/>
    <w:link w:val="FooterChar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CommentReference">
    <w:name w:val="annotation reference"/>
    <w:basedOn w:val="DefaultParagraphFont"/>
    <w:semiHidden/>
    <w:rsid w:val="002C2235"/>
    <w:rPr>
      <w:sz w:val="16"/>
      <w:szCs w:val="16"/>
    </w:rPr>
  </w:style>
  <w:style w:type="paragraph" w:customStyle="1" w:styleId="naislab">
    <w:name w:val="naislab"/>
    <w:basedOn w:val="Normal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rsid w:val="002C22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2235"/>
  </w:style>
  <w:style w:type="paragraph" w:styleId="CommentText">
    <w:name w:val="annotation text"/>
    <w:basedOn w:val="Normal"/>
    <w:link w:val="CommentTextChar"/>
    <w:rsid w:val="002C2235"/>
    <w:rPr>
      <w:sz w:val="20"/>
      <w:szCs w:val="20"/>
    </w:rPr>
  </w:style>
  <w:style w:type="paragraph" w:customStyle="1" w:styleId="naiskr">
    <w:name w:val="naiskr"/>
    <w:basedOn w:val="Normal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Normal"/>
    <w:rsid w:val="004071C3"/>
    <w:pPr>
      <w:spacing w:before="40"/>
    </w:pPr>
    <w:rPr>
      <w:lang w:val="pl-PL" w:eastAsia="pl-PL"/>
    </w:rPr>
  </w:style>
  <w:style w:type="paragraph" w:styleId="BodyText2">
    <w:name w:val="Body Text 2"/>
    <w:basedOn w:val="Normal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semiHidden/>
    <w:rsid w:val="00CC26BC"/>
    <w:rPr>
      <w:b/>
      <w:bCs/>
    </w:rPr>
  </w:style>
  <w:style w:type="character" w:styleId="Hyperlink">
    <w:name w:val="Hyperlink"/>
    <w:basedOn w:val="DefaultParagraphFont"/>
    <w:rsid w:val="009402E4"/>
    <w:rPr>
      <w:color w:val="0000FF"/>
      <w:u w:val="single"/>
    </w:rPr>
  </w:style>
  <w:style w:type="paragraph" w:styleId="Title">
    <w:name w:val="Title"/>
    <w:basedOn w:val="Normal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NoSpacing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Normal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Strong">
    <w:name w:val="Strong"/>
    <w:basedOn w:val="DefaultParagraphFont"/>
    <w:uiPriority w:val="22"/>
    <w:qFormat/>
    <w:rsid w:val="00FD247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A856EA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7065</Words>
  <Characters>4028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17.februāra noteikumos Nr.83 Āfrikas cūku mēra likvidēšanas un draudu novēršanas kārtība</vt:lpstr>
      <vt:lpstr>Grozījumi Ministru kabineta 2004.gada 17.februāra noteikumos Nr.83 Āfrikas cūku mēra likvidēšanas un draudu novēršanas kārtība</vt:lpstr>
    </vt:vector>
  </TitlesOfParts>
  <Manager>Veterinārais un pārtikas departaments</Manager>
  <Company>Zemkopības ministrija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Āfrikas cūku mēra likvidēšanas un draudu novēršanas kārtība</dc:title>
  <dc:subject>MK noteikumu projekta anotācija</dc:subject>
  <dc:creator>Sanita Vanaga</dc:creator>
  <dc:description>Sanita.Vanaga@zm.gov.lv, 67027363</dc:description>
  <cp:lastModifiedBy>Laimdota Adlere</cp:lastModifiedBy>
  <cp:revision>4</cp:revision>
  <cp:lastPrinted>2010-10-15T13:18:00Z</cp:lastPrinted>
  <dcterms:created xsi:type="dcterms:W3CDTF">2015-08-14T06:44:00Z</dcterms:created>
  <dcterms:modified xsi:type="dcterms:W3CDTF">2015-08-14T06:44:00Z</dcterms:modified>
</cp:coreProperties>
</file>